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63C" w:rsidRPr="00E651D1" w:rsidRDefault="003A563C" w:rsidP="00713485">
      <w:pPr>
        <w:pStyle w:val="Heading1"/>
        <w:jc w:val="both"/>
        <w:rPr>
          <w:rFonts w:ascii="Times New Roman" w:hAnsi="Times New Roman"/>
          <w:sz w:val="23"/>
          <w:szCs w:val="23"/>
        </w:rPr>
      </w:pPr>
      <w:bookmarkStart w:id="0" w:name="_GoBack"/>
      <w:bookmarkEnd w:id="0"/>
      <w:r w:rsidRPr="00E651D1">
        <w:rPr>
          <w:rFonts w:ascii="Times New Roman" w:hAnsi="Times New Roman"/>
          <w:sz w:val="23"/>
          <w:szCs w:val="23"/>
        </w:rPr>
        <w:t xml:space="preserve">FOOTNOTE </w:t>
      </w:r>
      <w:r w:rsidR="00374B11" w:rsidRPr="00E651D1">
        <w:rPr>
          <w:rFonts w:ascii="Times New Roman" w:hAnsi="Times New Roman"/>
          <w:sz w:val="23"/>
          <w:szCs w:val="23"/>
        </w:rPr>
        <w:t>T</w:t>
      </w:r>
      <w:r w:rsidRPr="00E651D1">
        <w:rPr>
          <w:rFonts w:ascii="Times New Roman" w:hAnsi="Times New Roman"/>
          <w:sz w:val="23"/>
          <w:szCs w:val="23"/>
        </w:rPr>
        <w:t>/</w:t>
      </w:r>
      <w:r w:rsidR="002513D1" w:rsidRPr="00E651D1">
        <w:rPr>
          <w:rFonts w:ascii="Times New Roman" w:hAnsi="Times New Roman"/>
          <w:sz w:val="23"/>
          <w:szCs w:val="23"/>
          <w:u w:val="none"/>
        </w:rPr>
        <w:tab/>
      </w:r>
      <w:r w:rsidRPr="00E651D1">
        <w:rPr>
          <w:rFonts w:ascii="Times New Roman" w:hAnsi="Times New Roman"/>
          <w:sz w:val="23"/>
          <w:szCs w:val="23"/>
        </w:rPr>
        <w:t xml:space="preserve">$ </w:t>
      </w:r>
      <w:r w:rsidR="0033632C">
        <w:rPr>
          <w:rFonts w:ascii="Times New Roman" w:hAnsi="Times New Roman"/>
          <w:sz w:val="23"/>
          <w:szCs w:val="23"/>
        </w:rPr>
        <w:t>249,949</w:t>
      </w:r>
      <w:r w:rsidRPr="00E651D1">
        <w:rPr>
          <w:rFonts w:ascii="Times New Roman" w:hAnsi="Times New Roman"/>
          <w:sz w:val="23"/>
          <w:szCs w:val="23"/>
          <w:u w:val="none"/>
        </w:rPr>
        <w:t xml:space="preserve"> </w:t>
      </w:r>
      <w:r w:rsidRPr="00E651D1">
        <w:rPr>
          <w:rFonts w:ascii="Times New Roman" w:hAnsi="Times New Roman"/>
          <w:sz w:val="23"/>
          <w:szCs w:val="23"/>
          <w:u w:val="none"/>
        </w:rPr>
        <w:tab/>
        <w:t>Depreciation</w:t>
      </w:r>
      <w:r w:rsidR="005B6A96" w:rsidRPr="00E651D1">
        <w:rPr>
          <w:rFonts w:ascii="Times New Roman" w:hAnsi="Times New Roman"/>
          <w:sz w:val="23"/>
          <w:szCs w:val="23"/>
          <w:u w:val="none"/>
        </w:rPr>
        <w:t xml:space="preserve"> and Amortization</w:t>
      </w:r>
      <w:r w:rsidRPr="00E651D1">
        <w:rPr>
          <w:rFonts w:ascii="Times New Roman" w:hAnsi="Times New Roman"/>
          <w:sz w:val="23"/>
          <w:szCs w:val="23"/>
          <w:u w:val="none"/>
        </w:rPr>
        <w:t xml:space="preserve"> Expense</w:t>
      </w:r>
    </w:p>
    <w:p w:rsidR="00345BB7" w:rsidRPr="00E651D1" w:rsidRDefault="00345BB7" w:rsidP="00713485">
      <w:pPr>
        <w:jc w:val="both"/>
        <w:rPr>
          <w:sz w:val="23"/>
          <w:szCs w:val="23"/>
        </w:rPr>
      </w:pPr>
    </w:p>
    <w:p w:rsidR="00BC17F2" w:rsidRPr="00E47543" w:rsidRDefault="002F19F1" w:rsidP="00713485">
      <w:pPr>
        <w:jc w:val="both"/>
        <w:rPr>
          <w:sz w:val="23"/>
          <w:szCs w:val="23"/>
        </w:rPr>
      </w:pPr>
      <w:r w:rsidRPr="00E651D1">
        <w:rPr>
          <w:sz w:val="23"/>
          <w:szCs w:val="23"/>
        </w:rPr>
        <w:t xml:space="preserve">The increase is primarily due to the increase in </w:t>
      </w:r>
      <w:r w:rsidR="0033632C">
        <w:rPr>
          <w:sz w:val="23"/>
          <w:szCs w:val="23"/>
        </w:rPr>
        <w:t xml:space="preserve">depreciable plant balance in </w:t>
      </w:r>
      <w:r w:rsidRPr="00E651D1">
        <w:rPr>
          <w:sz w:val="23"/>
          <w:szCs w:val="23"/>
        </w:rPr>
        <w:t>electric plant in service as identified in FOOTNOTE AE/ as well as proposed changes in depreciation rates reflected in the Company’s budget beginning January 2020.</w:t>
      </w:r>
    </w:p>
    <w:p w:rsidR="00115351" w:rsidRPr="00E47543" w:rsidRDefault="00115351" w:rsidP="00713485">
      <w:pPr>
        <w:jc w:val="both"/>
        <w:rPr>
          <w:sz w:val="23"/>
          <w:szCs w:val="23"/>
          <w:u w:val="single"/>
        </w:rPr>
      </w:pPr>
    </w:p>
    <w:p w:rsidR="00AA7FF9" w:rsidRPr="007F5452" w:rsidRDefault="00AA7FF9" w:rsidP="00713485">
      <w:pPr>
        <w:jc w:val="both"/>
        <w:rPr>
          <w:color w:val="FF0000"/>
          <w:sz w:val="23"/>
          <w:szCs w:val="23"/>
        </w:rPr>
      </w:pPr>
      <w:bookmarkStart w:id="1" w:name="_Hlk9688820"/>
      <w:r w:rsidRPr="0089221E">
        <w:rPr>
          <w:sz w:val="23"/>
          <w:szCs w:val="23"/>
          <w:u w:val="single"/>
        </w:rPr>
        <w:t xml:space="preserve">FOOTNOTE </w:t>
      </w:r>
      <w:r w:rsidR="00374B11" w:rsidRPr="0089221E">
        <w:rPr>
          <w:sz w:val="23"/>
          <w:szCs w:val="23"/>
          <w:u w:val="single"/>
        </w:rPr>
        <w:t>U</w:t>
      </w:r>
      <w:r w:rsidRPr="0089221E">
        <w:rPr>
          <w:sz w:val="23"/>
          <w:szCs w:val="23"/>
          <w:u w:val="single"/>
        </w:rPr>
        <w:t>/</w:t>
      </w:r>
      <w:r w:rsidR="002513D1" w:rsidRPr="0089221E">
        <w:rPr>
          <w:sz w:val="23"/>
          <w:szCs w:val="23"/>
        </w:rPr>
        <w:tab/>
      </w:r>
      <w:r w:rsidR="008864BC" w:rsidRPr="0089221E">
        <w:rPr>
          <w:sz w:val="23"/>
          <w:szCs w:val="23"/>
          <w:u w:val="single"/>
        </w:rPr>
        <w:t>$(594)</w:t>
      </w:r>
      <w:r w:rsidR="00F84D56" w:rsidRPr="0089221E">
        <w:rPr>
          <w:sz w:val="23"/>
          <w:szCs w:val="23"/>
        </w:rPr>
        <w:tab/>
      </w:r>
      <w:r w:rsidR="008864BC" w:rsidRPr="0089221E">
        <w:rPr>
          <w:sz w:val="23"/>
          <w:szCs w:val="23"/>
        </w:rPr>
        <w:tab/>
      </w:r>
      <w:r w:rsidRPr="0089221E">
        <w:rPr>
          <w:sz w:val="23"/>
          <w:szCs w:val="23"/>
        </w:rPr>
        <w:t>Nuclear Decommissioning Expense</w:t>
      </w:r>
    </w:p>
    <w:p w:rsidR="00AA7FF9" w:rsidRPr="007F5452" w:rsidRDefault="00AA7FF9" w:rsidP="00713485">
      <w:pPr>
        <w:jc w:val="both"/>
        <w:rPr>
          <w:sz w:val="23"/>
          <w:szCs w:val="23"/>
        </w:rPr>
      </w:pPr>
    </w:p>
    <w:p w:rsidR="00AA7FF9" w:rsidRPr="00E47543" w:rsidRDefault="00BC6044" w:rsidP="00713485">
      <w:pPr>
        <w:jc w:val="both"/>
        <w:rPr>
          <w:sz w:val="23"/>
          <w:szCs w:val="23"/>
          <w:u w:val="single"/>
        </w:rPr>
      </w:pPr>
      <w:r w:rsidRPr="007F5452">
        <w:rPr>
          <w:sz w:val="23"/>
          <w:szCs w:val="23"/>
        </w:rPr>
        <w:t>Th</w:t>
      </w:r>
      <w:r w:rsidR="0033632C">
        <w:rPr>
          <w:sz w:val="23"/>
          <w:szCs w:val="23"/>
        </w:rPr>
        <w:t xml:space="preserve">e </w:t>
      </w:r>
      <w:r w:rsidR="00AC42BB" w:rsidRPr="007F5452">
        <w:rPr>
          <w:sz w:val="23"/>
          <w:szCs w:val="23"/>
        </w:rPr>
        <w:t>decrease</w:t>
      </w:r>
      <w:r w:rsidR="002513D1" w:rsidRPr="007F5452">
        <w:rPr>
          <w:sz w:val="23"/>
          <w:szCs w:val="23"/>
        </w:rPr>
        <w:t xml:space="preserve"> reflects a</w:t>
      </w:r>
      <w:r w:rsidR="00AC42BB" w:rsidRPr="007F5452">
        <w:rPr>
          <w:sz w:val="23"/>
          <w:szCs w:val="23"/>
        </w:rPr>
        <w:t xml:space="preserve"> decrease</w:t>
      </w:r>
      <w:r w:rsidR="002513D1" w:rsidRPr="007F5452">
        <w:rPr>
          <w:sz w:val="23"/>
          <w:szCs w:val="23"/>
        </w:rPr>
        <w:t xml:space="preserve"> in the nuclear decom</w:t>
      </w:r>
      <w:r w:rsidR="00AC42BB" w:rsidRPr="007F5452">
        <w:rPr>
          <w:sz w:val="23"/>
          <w:szCs w:val="23"/>
        </w:rPr>
        <w:t>missioning</w:t>
      </w:r>
      <w:r w:rsidR="002513D1" w:rsidRPr="007F5452">
        <w:rPr>
          <w:sz w:val="23"/>
          <w:szCs w:val="23"/>
        </w:rPr>
        <w:t xml:space="preserve"> accrual beginning January 20</w:t>
      </w:r>
      <w:r w:rsidR="0078031A" w:rsidRPr="007F5452">
        <w:rPr>
          <w:sz w:val="23"/>
          <w:szCs w:val="23"/>
        </w:rPr>
        <w:t>20</w:t>
      </w:r>
      <w:r w:rsidR="002513D1" w:rsidRPr="007F5452">
        <w:rPr>
          <w:sz w:val="23"/>
          <w:szCs w:val="23"/>
        </w:rPr>
        <w:t xml:space="preserve"> as a result of</w:t>
      </w:r>
      <w:r w:rsidR="00AB7618" w:rsidRPr="007F5452">
        <w:rPr>
          <w:sz w:val="23"/>
          <w:szCs w:val="23"/>
        </w:rPr>
        <w:t xml:space="preserve"> </w:t>
      </w:r>
      <w:r w:rsidR="00EC117B">
        <w:rPr>
          <w:sz w:val="23"/>
          <w:szCs w:val="23"/>
        </w:rPr>
        <w:t xml:space="preserve">projected </w:t>
      </w:r>
      <w:r w:rsidR="00AC42BB" w:rsidRPr="007F5452">
        <w:rPr>
          <w:sz w:val="23"/>
          <w:szCs w:val="23"/>
        </w:rPr>
        <w:t>decreases</w:t>
      </w:r>
      <w:r w:rsidR="00AB7618" w:rsidRPr="007F5452">
        <w:rPr>
          <w:sz w:val="23"/>
          <w:szCs w:val="23"/>
        </w:rPr>
        <w:t xml:space="preserve"> in spent fuel management and waste burial costs</w:t>
      </w:r>
      <w:r w:rsidR="0089221E">
        <w:rPr>
          <w:sz w:val="23"/>
          <w:szCs w:val="23"/>
        </w:rPr>
        <w:t xml:space="preserve"> due to incorporating estimates from the new nuclear decommissioning study</w:t>
      </w:r>
      <w:r w:rsidR="002513D1" w:rsidRPr="007F5452">
        <w:rPr>
          <w:sz w:val="23"/>
          <w:szCs w:val="23"/>
        </w:rPr>
        <w:t>.</w:t>
      </w:r>
      <w:r w:rsidR="00AA7FF9" w:rsidRPr="00E47543">
        <w:rPr>
          <w:sz w:val="23"/>
          <w:szCs w:val="23"/>
        </w:rPr>
        <w:t xml:space="preserve">      </w:t>
      </w:r>
    </w:p>
    <w:bookmarkEnd w:id="1"/>
    <w:p w:rsidR="00AA7FF9" w:rsidRPr="00E47543" w:rsidRDefault="00AA7FF9" w:rsidP="00713485">
      <w:pPr>
        <w:jc w:val="both"/>
        <w:rPr>
          <w:sz w:val="23"/>
          <w:szCs w:val="23"/>
          <w:u w:val="single"/>
        </w:rPr>
      </w:pPr>
    </w:p>
    <w:p w:rsidR="002513D1" w:rsidRPr="00E651D1" w:rsidRDefault="002513D1" w:rsidP="00713485">
      <w:pPr>
        <w:jc w:val="both"/>
        <w:rPr>
          <w:sz w:val="23"/>
          <w:szCs w:val="23"/>
        </w:rPr>
      </w:pPr>
      <w:r w:rsidRPr="00E651D1">
        <w:rPr>
          <w:sz w:val="23"/>
          <w:szCs w:val="23"/>
          <w:u w:val="single"/>
        </w:rPr>
        <w:t xml:space="preserve">FOOTNOTE </w:t>
      </w:r>
      <w:r w:rsidR="00374B11" w:rsidRPr="00E651D1">
        <w:rPr>
          <w:sz w:val="23"/>
          <w:szCs w:val="23"/>
          <w:u w:val="single"/>
        </w:rPr>
        <w:t>V</w:t>
      </w:r>
      <w:r w:rsidRPr="00E651D1">
        <w:rPr>
          <w:sz w:val="23"/>
          <w:szCs w:val="23"/>
          <w:u w:val="single"/>
        </w:rPr>
        <w:t>/</w:t>
      </w:r>
      <w:r w:rsidRPr="00E651D1">
        <w:rPr>
          <w:sz w:val="23"/>
          <w:szCs w:val="23"/>
        </w:rPr>
        <w:tab/>
      </w:r>
      <w:r w:rsidRPr="00E651D1">
        <w:rPr>
          <w:sz w:val="23"/>
          <w:szCs w:val="23"/>
          <w:u w:val="single"/>
        </w:rPr>
        <w:t xml:space="preserve">$ </w:t>
      </w:r>
      <w:r w:rsidR="005B6A96" w:rsidRPr="00E651D1">
        <w:rPr>
          <w:sz w:val="23"/>
          <w:szCs w:val="23"/>
          <w:u w:val="single"/>
        </w:rPr>
        <w:t>96</w:t>
      </w:r>
      <w:r w:rsidRPr="00E651D1">
        <w:rPr>
          <w:sz w:val="23"/>
          <w:szCs w:val="23"/>
        </w:rPr>
        <w:tab/>
      </w:r>
      <w:r w:rsidR="00F84D56" w:rsidRPr="00E651D1">
        <w:rPr>
          <w:sz w:val="23"/>
          <w:szCs w:val="23"/>
        </w:rPr>
        <w:tab/>
      </w:r>
      <w:r w:rsidRPr="00E651D1">
        <w:rPr>
          <w:sz w:val="23"/>
          <w:szCs w:val="23"/>
        </w:rPr>
        <w:t>Amortization of Investment Tax Credits</w:t>
      </w:r>
      <w:r w:rsidR="0033632C">
        <w:rPr>
          <w:sz w:val="23"/>
          <w:szCs w:val="23"/>
        </w:rPr>
        <w:t xml:space="preserve"> (ITCs)</w:t>
      </w:r>
    </w:p>
    <w:p w:rsidR="002513D1" w:rsidRPr="00E651D1" w:rsidRDefault="002513D1" w:rsidP="00713485">
      <w:pPr>
        <w:jc w:val="both"/>
        <w:rPr>
          <w:sz w:val="23"/>
          <w:szCs w:val="23"/>
        </w:rPr>
      </w:pPr>
    </w:p>
    <w:p w:rsidR="003161E2" w:rsidRPr="00E651D1" w:rsidRDefault="003161E2" w:rsidP="00713485">
      <w:pPr>
        <w:jc w:val="both"/>
        <w:rPr>
          <w:sz w:val="23"/>
          <w:szCs w:val="23"/>
        </w:rPr>
      </w:pPr>
      <w:r w:rsidRPr="00E651D1">
        <w:rPr>
          <w:sz w:val="23"/>
          <w:szCs w:val="23"/>
        </w:rPr>
        <w:t>The decrease is primarily due to older ITCs being fully amortized partially offset by changes in the average service lives used for amortization of investment tax credits.</w:t>
      </w:r>
    </w:p>
    <w:p w:rsidR="002513D1" w:rsidRPr="00E651D1" w:rsidRDefault="003161E2" w:rsidP="00713485">
      <w:pPr>
        <w:jc w:val="both"/>
        <w:rPr>
          <w:sz w:val="23"/>
          <w:szCs w:val="23"/>
        </w:rPr>
      </w:pPr>
      <w:r w:rsidRPr="00E651D1">
        <w:rPr>
          <w:sz w:val="23"/>
          <w:szCs w:val="23"/>
        </w:rPr>
        <w:t xml:space="preserve"> </w:t>
      </w:r>
    </w:p>
    <w:p w:rsidR="002C27EA" w:rsidRPr="00E651D1" w:rsidRDefault="002C27EA" w:rsidP="00713485">
      <w:pPr>
        <w:jc w:val="both"/>
        <w:rPr>
          <w:sz w:val="23"/>
          <w:szCs w:val="23"/>
        </w:rPr>
      </w:pPr>
      <w:r w:rsidRPr="00E651D1">
        <w:rPr>
          <w:sz w:val="23"/>
          <w:szCs w:val="23"/>
          <w:u w:val="single"/>
        </w:rPr>
        <w:t xml:space="preserve">FOOTNOTE </w:t>
      </w:r>
      <w:r w:rsidR="00374B11" w:rsidRPr="00E651D1">
        <w:rPr>
          <w:sz w:val="23"/>
          <w:szCs w:val="23"/>
          <w:u w:val="single"/>
        </w:rPr>
        <w:t>W</w:t>
      </w:r>
      <w:r w:rsidRPr="00E651D1">
        <w:rPr>
          <w:sz w:val="23"/>
          <w:szCs w:val="23"/>
          <w:u w:val="single"/>
        </w:rPr>
        <w:t>/</w:t>
      </w:r>
      <w:r w:rsidRPr="00E651D1">
        <w:rPr>
          <w:sz w:val="23"/>
          <w:szCs w:val="23"/>
        </w:rPr>
        <w:tab/>
      </w:r>
      <w:r w:rsidRPr="00E651D1">
        <w:rPr>
          <w:sz w:val="23"/>
          <w:szCs w:val="23"/>
          <w:u w:val="single"/>
        </w:rPr>
        <w:t xml:space="preserve">$ </w:t>
      </w:r>
      <w:r w:rsidR="005B6A96" w:rsidRPr="00E651D1">
        <w:rPr>
          <w:sz w:val="23"/>
          <w:szCs w:val="23"/>
          <w:u w:val="single"/>
        </w:rPr>
        <w:t>8,655</w:t>
      </w:r>
      <w:r w:rsidRPr="00E651D1">
        <w:rPr>
          <w:sz w:val="23"/>
          <w:szCs w:val="23"/>
        </w:rPr>
        <w:tab/>
      </w:r>
      <w:r w:rsidR="00F84D56" w:rsidRPr="00E651D1">
        <w:rPr>
          <w:sz w:val="23"/>
          <w:szCs w:val="23"/>
        </w:rPr>
        <w:tab/>
      </w:r>
      <w:r w:rsidRPr="00E651D1">
        <w:rPr>
          <w:sz w:val="23"/>
          <w:szCs w:val="23"/>
        </w:rPr>
        <w:t xml:space="preserve">Amortization of </w:t>
      </w:r>
      <w:r w:rsidR="005B6A96" w:rsidRPr="00E651D1">
        <w:rPr>
          <w:sz w:val="23"/>
          <w:szCs w:val="23"/>
        </w:rPr>
        <w:t>Obsolete Inventory</w:t>
      </w:r>
    </w:p>
    <w:p w:rsidR="002C27EA" w:rsidRPr="00E651D1" w:rsidRDefault="002C27EA" w:rsidP="00713485">
      <w:pPr>
        <w:jc w:val="both"/>
        <w:rPr>
          <w:sz w:val="23"/>
          <w:szCs w:val="23"/>
        </w:rPr>
      </w:pPr>
    </w:p>
    <w:p w:rsidR="002C27EA" w:rsidRPr="00E651D1" w:rsidRDefault="00E35576" w:rsidP="00713485">
      <w:pPr>
        <w:jc w:val="both"/>
        <w:rPr>
          <w:sz w:val="23"/>
          <w:szCs w:val="23"/>
        </w:rPr>
      </w:pPr>
      <w:r w:rsidRPr="00E651D1">
        <w:rPr>
          <w:sz w:val="23"/>
          <w:szCs w:val="23"/>
        </w:rPr>
        <w:t>Th</w:t>
      </w:r>
      <w:r w:rsidR="003A641A">
        <w:rPr>
          <w:sz w:val="23"/>
          <w:szCs w:val="23"/>
        </w:rPr>
        <w:t>e</w:t>
      </w:r>
      <w:r w:rsidRPr="00E651D1">
        <w:rPr>
          <w:sz w:val="23"/>
          <w:szCs w:val="23"/>
        </w:rPr>
        <w:t xml:space="preserve"> increase reflects the proposed 3-year amortization of obsolete inventory associated with 1) the previously decertified units in Docket Nos. 34218, 36498, and 40161, and 2) the proposed decertification of units in Docket No. 42310. </w:t>
      </w:r>
    </w:p>
    <w:p w:rsidR="00AB7618" w:rsidRPr="00E651D1" w:rsidRDefault="00AB7618" w:rsidP="00713485">
      <w:pPr>
        <w:jc w:val="both"/>
        <w:rPr>
          <w:sz w:val="23"/>
          <w:szCs w:val="23"/>
        </w:rPr>
      </w:pPr>
    </w:p>
    <w:p w:rsidR="00AB7618" w:rsidRPr="00E651D1" w:rsidRDefault="00AB7618" w:rsidP="00713485">
      <w:pPr>
        <w:jc w:val="both"/>
        <w:rPr>
          <w:sz w:val="23"/>
          <w:szCs w:val="23"/>
        </w:rPr>
      </w:pPr>
      <w:r w:rsidRPr="00E651D1">
        <w:rPr>
          <w:sz w:val="23"/>
          <w:szCs w:val="23"/>
          <w:u w:val="single"/>
        </w:rPr>
        <w:t xml:space="preserve">FOOTNOTE </w:t>
      </w:r>
      <w:r w:rsidR="00374B11" w:rsidRPr="00E651D1">
        <w:rPr>
          <w:sz w:val="23"/>
          <w:szCs w:val="23"/>
          <w:u w:val="single"/>
        </w:rPr>
        <w:t>X</w:t>
      </w:r>
      <w:r w:rsidRPr="00E651D1">
        <w:rPr>
          <w:sz w:val="23"/>
          <w:szCs w:val="23"/>
          <w:u w:val="single"/>
        </w:rPr>
        <w:t>/</w:t>
      </w:r>
      <w:r w:rsidRPr="00E651D1">
        <w:rPr>
          <w:sz w:val="23"/>
          <w:szCs w:val="23"/>
        </w:rPr>
        <w:tab/>
      </w:r>
      <w:r w:rsidRPr="00E651D1">
        <w:rPr>
          <w:sz w:val="23"/>
          <w:szCs w:val="23"/>
          <w:u w:val="single"/>
        </w:rPr>
        <w:t>$ (</w:t>
      </w:r>
      <w:r w:rsidR="005B6A96" w:rsidRPr="00E651D1">
        <w:rPr>
          <w:sz w:val="23"/>
          <w:szCs w:val="23"/>
          <w:u w:val="single"/>
        </w:rPr>
        <w:t>718</w:t>
      </w:r>
      <w:r w:rsidRPr="00E651D1">
        <w:rPr>
          <w:sz w:val="23"/>
          <w:szCs w:val="23"/>
          <w:u w:val="single"/>
        </w:rPr>
        <w:t>)</w:t>
      </w:r>
      <w:r w:rsidRPr="00E651D1">
        <w:rPr>
          <w:sz w:val="23"/>
          <w:szCs w:val="23"/>
        </w:rPr>
        <w:tab/>
      </w:r>
      <w:r w:rsidRPr="00E651D1">
        <w:rPr>
          <w:sz w:val="23"/>
          <w:szCs w:val="23"/>
        </w:rPr>
        <w:tab/>
        <w:t xml:space="preserve">Amortization of </w:t>
      </w:r>
      <w:r w:rsidR="007C4339">
        <w:rPr>
          <w:sz w:val="23"/>
          <w:szCs w:val="23"/>
        </w:rPr>
        <w:t>State Tax Reform Refunds</w:t>
      </w:r>
    </w:p>
    <w:p w:rsidR="00AB7618" w:rsidRPr="00E651D1" w:rsidRDefault="00AB7618" w:rsidP="00713485">
      <w:pPr>
        <w:jc w:val="both"/>
        <w:rPr>
          <w:sz w:val="23"/>
          <w:szCs w:val="23"/>
        </w:rPr>
      </w:pPr>
    </w:p>
    <w:p w:rsidR="00AB7618" w:rsidRPr="00E651D1" w:rsidRDefault="003161E2" w:rsidP="00713485">
      <w:pPr>
        <w:jc w:val="both"/>
        <w:rPr>
          <w:sz w:val="23"/>
          <w:szCs w:val="23"/>
          <w:u w:val="single"/>
        </w:rPr>
      </w:pPr>
      <w:r w:rsidRPr="00E651D1">
        <w:rPr>
          <w:sz w:val="23"/>
          <w:szCs w:val="23"/>
        </w:rPr>
        <w:t>Th</w:t>
      </w:r>
      <w:r w:rsidR="003A641A">
        <w:rPr>
          <w:sz w:val="23"/>
          <w:szCs w:val="23"/>
        </w:rPr>
        <w:t>e in</w:t>
      </w:r>
      <w:r w:rsidRPr="00E651D1">
        <w:rPr>
          <w:sz w:val="23"/>
          <w:szCs w:val="23"/>
        </w:rPr>
        <w:t xml:space="preserve">crease reflects the </w:t>
      </w:r>
      <w:r w:rsidR="003A641A">
        <w:rPr>
          <w:sz w:val="23"/>
          <w:szCs w:val="23"/>
        </w:rPr>
        <w:t xml:space="preserve">proposed 3-year amortization of the </w:t>
      </w:r>
      <w:r w:rsidR="00EC117B">
        <w:rPr>
          <w:sz w:val="23"/>
          <w:szCs w:val="23"/>
        </w:rPr>
        <w:t>regulatory liability</w:t>
      </w:r>
      <w:r w:rsidR="003A641A">
        <w:rPr>
          <w:sz w:val="23"/>
          <w:szCs w:val="23"/>
        </w:rPr>
        <w:t xml:space="preserve"> resulting from the reduction in Georgia state income tax rate, as ordered by the Commission in the </w:t>
      </w:r>
      <w:r w:rsidR="0037189A">
        <w:rPr>
          <w:sz w:val="23"/>
          <w:szCs w:val="23"/>
        </w:rPr>
        <w:t>Tax Reform Act.</w:t>
      </w:r>
      <w:r w:rsidR="003A641A">
        <w:rPr>
          <w:sz w:val="23"/>
          <w:szCs w:val="23"/>
        </w:rPr>
        <w:t xml:space="preserve">  </w:t>
      </w:r>
      <w:r w:rsidR="00BC6044" w:rsidRPr="00E651D1">
        <w:rPr>
          <w:sz w:val="23"/>
          <w:szCs w:val="23"/>
        </w:rPr>
        <w:t xml:space="preserve">  </w:t>
      </w:r>
    </w:p>
    <w:p w:rsidR="00CD1613" w:rsidRPr="00E651D1" w:rsidRDefault="00CD1613" w:rsidP="00713485">
      <w:pPr>
        <w:jc w:val="both"/>
        <w:rPr>
          <w:sz w:val="23"/>
          <w:szCs w:val="23"/>
        </w:rPr>
      </w:pPr>
    </w:p>
    <w:p w:rsidR="00CD1613" w:rsidRPr="00E651D1" w:rsidRDefault="00AB7618" w:rsidP="00713485">
      <w:pPr>
        <w:jc w:val="both"/>
        <w:rPr>
          <w:sz w:val="23"/>
          <w:szCs w:val="23"/>
        </w:rPr>
      </w:pPr>
      <w:r w:rsidRPr="00E651D1">
        <w:rPr>
          <w:sz w:val="23"/>
          <w:szCs w:val="23"/>
          <w:u w:val="single"/>
        </w:rPr>
        <w:t xml:space="preserve">FOOTNOTE </w:t>
      </w:r>
      <w:r w:rsidR="00374B11" w:rsidRPr="00E651D1">
        <w:rPr>
          <w:sz w:val="23"/>
          <w:szCs w:val="23"/>
          <w:u w:val="single"/>
        </w:rPr>
        <w:t>Y</w:t>
      </w:r>
      <w:r w:rsidR="00CD1613" w:rsidRPr="00E651D1">
        <w:rPr>
          <w:sz w:val="23"/>
          <w:szCs w:val="23"/>
          <w:u w:val="single"/>
        </w:rPr>
        <w:t>/</w:t>
      </w:r>
      <w:r w:rsidR="00CD1613" w:rsidRPr="00E651D1">
        <w:rPr>
          <w:sz w:val="23"/>
          <w:szCs w:val="23"/>
        </w:rPr>
        <w:tab/>
      </w:r>
      <w:r w:rsidR="00CD1613" w:rsidRPr="00E651D1">
        <w:rPr>
          <w:sz w:val="23"/>
          <w:szCs w:val="23"/>
          <w:u w:val="single"/>
        </w:rPr>
        <w:t xml:space="preserve">$ </w:t>
      </w:r>
      <w:r w:rsidR="005B6A96" w:rsidRPr="00E651D1">
        <w:rPr>
          <w:sz w:val="23"/>
          <w:szCs w:val="23"/>
          <w:u w:val="single"/>
        </w:rPr>
        <w:t>40,302</w:t>
      </w:r>
      <w:r w:rsidR="00CD1613" w:rsidRPr="00E651D1">
        <w:rPr>
          <w:sz w:val="23"/>
          <w:szCs w:val="23"/>
        </w:rPr>
        <w:tab/>
        <w:t xml:space="preserve">Amortization </w:t>
      </w:r>
      <w:r w:rsidR="005B6A96" w:rsidRPr="00E651D1">
        <w:rPr>
          <w:sz w:val="23"/>
          <w:szCs w:val="23"/>
        </w:rPr>
        <w:t>of Retired Units’ Net Book Value</w:t>
      </w:r>
    </w:p>
    <w:p w:rsidR="00CD1613" w:rsidRPr="00E651D1" w:rsidRDefault="00CD1613" w:rsidP="00713485">
      <w:pPr>
        <w:jc w:val="both"/>
        <w:rPr>
          <w:sz w:val="23"/>
          <w:szCs w:val="23"/>
        </w:rPr>
      </w:pPr>
    </w:p>
    <w:p w:rsidR="00FF28FC" w:rsidRPr="00E651D1" w:rsidRDefault="00E35576" w:rsidP="00713485">
      <w:pPr>
        <w:jc w:val="both"/>
        <w:rPr>
          <w:sz w:val="23"/>
          <w:szCs w:val="23"/>
        </w:rPr>
      </w:pPr>
      <w:r w:rsidRPr="00E651D1">
        <w:rPr>
          <w:sz w:val="23"/>
          <w:szCs w:val="23"/>
        </w:rPr>
        <w:t>Th</w:t>
      </w:r>
      <w:r w:rsidR="003A641A">
        <w:rPr>
          <w:sz w:val="23"/>
          <w:szCs w:val="23"/>
        </w:rPr>
        <w:t>e</w:t>
      </w:r>
      <w:r w:rsidRPr="00E651D1">
        <w:rPr>
          <w:sz w:val="23"/>
          <w:szCs w:val="23"/>
        </w:rPr>
        <w:t xml:space="preserve"> increase reflects the proposed amortization of the remaining net book value</w:t>
      </w:r>
      <w:r w:rsidR="003A641A">
        <w:rPr>
          <w:sz w:val="23"/>
          <w:szCs w:val="23"/>
        </w:rPr>
        <w:t>s</w:t>
      </w:r>
      <w:r w:rsidRPr="00E651D1">
        <w:rPr>
          <w:sz w:val="23"/>
          <w:szCs w:val="23"/>
        </w:rPr>
        <w:t xml:space="preserve"> of Plant Hammond Units 1-4</w:t>
      </w:r>
      <w:r w:rsidR="003A641A">
        <w:rPr>
          <w:sz w:val="23"/>
          <w:szCs w:val="23"/>
        </w:rPr>
        <w:t xml:space="preserve"> over their remaining useful lives, and</w:t>
      </w:r>
      <w:r w:rsidRPr="00E651D1">
        <w:rPr>
          <w:sz w:val="23"/>
          <w:szCs w:val="23"/>
        </w:rPr>
        <w:t xml:space="preserve"> Plant</w:t>
      </w:r>
      <w:r w:rsidR="003A641A">
        <w:rPr>
          <w:sz w:val="23"/>
          <w:szCs w:val="23"/>
        </w:rPr>
        <w:t>s</w:t>
      </w:r>
      <w:r w:rsidR="004A45CF">
        <w:rPr>
          <w:sz w:val="23"/>
          <w:szCs w:val="23"/>
        </w:rPr>
        <w:t xml:space="preserve"> Mitchell Unit 3,</w:t>
      </w:r>
      <w:r w:rsidRPr="00E651D1">
        <w:rPr>
          <w:sz w:val="23"/>
          <w:szCs w:val="23"/>
        </w:rPr>
        <w:t xml:space="preserve"> McIntosh Unit 1, Estatoah Unit 1, Langdale Units 5-6, and Riverview Units 1-2</w:t>
      </w:r>
      <w:r w:rsidR="003A641A">
        <w:rPr>
          <w:sz w:val="23"/>
          <w:szCs w:val="23"/>
        </w:rPr>
        <w:t xml:space="preserve"> over a 3-year period ending December 31, 2022</w:t>
      </w:r>
      <w:r w:rsidRPr="00E651D1">
        <w:rPr>
          <w:sz w:val="23"/>
          <w:szCs w:val="23"/>
        </w:rPr>
        <w:t xml:space="preserve">.  </w:t>
      </w:r>
    </w:p>
    <w:p w:rsidR="00E35576" w:rsidRPr="00E651D1" w:rsidRDefault="00E35576" w:rsidP="00713485">
      <w:pPr>
        <w:jc w:val="both"/>
        <w:rPr>
          <w:sz w:val="23"/>
          <w:szCs w:val="23"/>
        </w:rPr>
      </w:pPr>
    </w:p>
    <w:p w:rsidR="00CD1613" w:rsidRPr="00E651D1" w:rsidRDefault="00CD1613" w:rsidP="00713485">
      <w:pPr>
        <w:jc w:val="both"/>
        <w:rPr>
          <w:sz w:val="23"/>
          <w:szCs w:val="23"/>
        </w:rPr>
      </w:pPr>
      <w:r w:rsidRPr="00E651D1">
        <w:rPr>
          <w:sz w:val="23"/>
          <w:szCs w:val="23"/>
          <w:u w:val="single"/>
        </w:rPr>
        <w:t xml:space="preserve">FOOTNOTE </w:t>
      </w:r>
      <w:r w:rsidR="00374B11" w:rsidRPr="00E651D1">
        <w:rPr>
          <w:sz w:val="23"/>
          <w:szCs w:val="23"/>
          <w:u w:val="single"/>
        </w:rPr>
        <w:t>Z</w:t>
      </w:r>
      <w:r w:rsidRPr="00E651D1">
        <w:rPr>
          <w:sz w:val="23"/>
          <w:szCs w:val="23"/>
          <w:u w:val="single"/>
        </w:rPr>
        <w:t>/</w:t>
      </w:r>
      <w:r w:rsidRPr="00E651D1">
        <w:rPr>
          <w:sz w:val="23"/>
          <w:szCs w:val="23"/>
        </w:rPr>
        <w:tab/>
      </w:r>
      <w:r w:rsidRPr="00E651D1">
        <w:rPr>
          <w:sz w:val="23"/>
          <w:szCs w:val="23"/>
          <w:u w:val="single"/>
        </w:rPr>
        <w:t xml:space="preserve">$ </w:t>
      </w:r>
      <w:r w:rsidR="005B6A96" w:rsidRPr="00E651D1">
        <w:rPr>
          <w:sz w:val="23"/>
          <w:szCs w:val="23"/>
          <w:u w:val="single"/>
        </w:rPr>
        <w:t>9,486</w:t>
      </w:r>
      <w:r w:rsidR="005B6A96" w:rsidRPr="00E651D1">
        <w:rPr>
          <w:sz w:val="23"/>
          <w:szCs w:val="23"/>
          <w:u w:val="single"/>
        </w:rPr>
        <w:tab/>
      </w:r>
      <w:r w:rsidR="00F84D56" w:rsidRPr="00E651D1">
        <w:rPr>
          <w:sz w:val="23"/>
          <w:szCs w:val="23"/>
        </w:rPr>
        <w:tab/>
      </w:r>
      <w:r w:rsidRPr="00E651D1">
        <w:rPr>
          <w:sz w:val="23"/>
          <w:szCs w:val="23"/>
        </w:rPr>
        <w:t xml:space="preserve">Amortization of </w:t>
      </w:r>
      <w:r w:rsidR="005B6A96" w:rsidRPr="00E651D1">
        <w:rPr>
          <w:sz w:val="23"/>
          <w:szCs w:val="23"/>
        </w:rPr>
        <w:t>Future Nuclear</w:t>
      </w:r>
    </w:p>
    <w:p w:rsidR="00CD1613" w:rsidRPr="00E651D1" w:rsidRDefault="00CD1613" w:rsidP="00713485">
      <w:pPr>
        <w:jc w:val="both"/>
        <w:rPr>
          <w:sz w:val="23"/>
          <w:szCs w:val="23"/>
        </w:rPr>
      </w:pPr>
    </w:p>
    <w:p w:rsidR="00CD1613" w:rsidRPr="00E47543" w:rsidRDefault="003A641A" w:rsidP="00713485">
      <w:pPr>
        <w:jc w:val="both"/>
        <w:rPr>
          <w:sz w:val="23"/>
          <w:szCs w:val="23"/>
        </w:rPr>
      </w:pPr>
      <w:r>
        <w:rPr>
          <w:sz w:val="23"/>
          <w:szCs w:val="23"/>
        </w:rPr>
        <w:t xml:space="preserve">The increase reflects the proposed 3-year amortization of the deferred costs approved by the Commission to investigate the option of pursuing new nuclear generation in Stewart County, Georgia.  </w:t>
      </w:r>
    </w:p>
    <w:p w:rsidR="009F443A" w:rsidRPr="00E47543" w:rsidRDefault="009F443A" w:rsidP="00713485">
      <w:pPr>
        <w:jc w:val="both"/>
        <w:rPr>
          <w:sz w:val="23"/>
          <w:szCs w:val="23"/>
          <w:u w:val="single"/>
        </w:rPr>
      </w:pPr>
    </w:p>
    <w:p w:rsidR="005E5B49" w:rsidRPr="00E47543" w:rsidRDefault="005E5B49" w:rsidP="00713485">
      <w:pPr>
        <w:jc w:val="both"/>
        <w:rPr>
          <w:sz w:val="23"/>
          <w:szCs w:val="23"/>
          <w:u w:val="single"/>
        </w:rPr>
      </w:pPr>
      <w:r w:rsidRPr="00E47543">
        <w:rPr>
          <w:sz w:val="23"/>
          <w:szCs w:val="23"/>
          <w:u w:val="single"/>
        </w:rPr>
        <w:br w:type="page"/>
      </w:r>
    </w:p>
    <w:p w:rsidR="009F443A" w:rsidRPr="00E651D1" w:rsidRDefault="009F443A" w:rsidP="00713485">
      <w:pPr>
        <w:jc w:val="both"/>
        <w:rPr>
          <w:sz w:val="23"/>
          <w:szCs w:val="23"/>
        </w:rPr>
      </w:pPr>
      <w:bookmarkStart w:id="2" w:name="_Hlk11078682"/>
      <w:r w:rsidRPr="00E651D1">
        <w:rPr>
          <w:sz w:val="23"/>
          <w:szCs w:val="23"/>
          <w:u w:val="single"/>
        </w:rPr>
        <w:lastRenderedPageBreak/>
        <w:t>FOOTNOTE A</w:t>
      </w:r>
      <w:r w:rsidR="00374B11" w:rsidRPr="00E651D1">
        <w:rPr>
          <w:sz w:val="23"/>
          <w:szCs w:val="23"/>
          <w:u w:val="single"/>
        </w:rPr>
        <w:t>A</w:t>
      </w:r>
      <w:r w:rsidRPr="00E651D1">
        <w:rPr>
          <w:sz w:val="23"/>
          <w:szCs w:val="23"/>
          <w:u w:val="single"/>
        </w:rPr>
        <w:t>/</w:t>
      </w:r>
      <w:r w:rsidRPr="00E651D1">
        <w:rPr>
          <w:sz w:val="23"/>
          <w:szCs w:val="23"/>
        </w:rPr>
        <w:tab/>
      </w:r>
      <w:r w:rsidRPr="00E651D1">
        <w:rPr>
          <w:sz w:val="23"/>
          <w:szCs w:val="23"/>
          <w:u w:val="single"/>
        </w:rPr>
        <w:t xml:space="preserve">$ </w:t>
      </w:r>
      <w:r w:rsidR="005B6A96" w:rsidRPr="00E651D1">
        <w:rPr>
          <w:sz w:val="23"/>
          <w:szCs w:val="23"/>
          <w:u w:val="single"/>
        </w:rPr>
        <w:t>3</w:t>
      </w:r>
      <w:r w:rsidR="00E47543" w:rsidRPr="00E651D1">
        <w:rPr>
          <w:sz w:val="23"/>
          <w:szCs w:val="23"/>
          <w:u w:val="single"/>
        </w:rPr>
        <w:t>2,9</w:t>
      </w:r>
      <w:r w:rsidR="000740D2">
        <w:rPr>
          <w:sz w:val="23"/>
          <w:szCs w:val="23"/>
          <w:u w:val="single"/>
        </w:rPr>
        <w:t>74</w:t>
      </w:r>
      <w:r w:rsidRPr="00E651D1">
        <w:rPr>
          <w:sz w:val="23"/>
          <w:szCs w:val="23"/>
        </w:rPr>
        <w:tab/>
      </w:r>
      <w:r w:rsidR="005B6A96" w:rsidRPr="00E651D1">
        <w:rPr>
          <w:sz w:val="23"/>
          <w:szCs w:val="23"/>
        </w:rPr>
        <w:t>Taxes Other Than Income Taxes</w:t>
      </w:r>
      <w:r w:rsidRPr="00E651D1">
        <w:rPr>
          <w:sz w:val="23"/>
          <w:szCs w:val="23"/>
        </w:rPr>
        <w:t xml:space="preserve"> </w:t>
      </w:r>
    </w:p>
    <w:p w:rsidR="009F443A" w:rsidRPr="00E651D1" w:rsidRDefault="009F443A" w:rsidP="00713485">
      <w:pPr>
        <w:jc w:val="both"/>
        <w:rPr>
          <w:sz w:val="23"/>
          <w:szCs w:val="23"/>
        </w:rPr>
      </w:pPr>
    </w:p>
    <w:p w:rsidR="009F443A" w:rsidRDefault="00C2499B" w:rsidP="00713485">
      <w:pPr>
        <w:jc w:val="both"/>
        <w:rPr>
          <w:sz w:val="23"/>
          <w:szCs w:val="23"/>
        </w:rPr>
      </w:pPr>
      <w:r w:rsidRPr="00E651D1">
        <w:rPr>
          <w:sz w:val="23"/>
          <w:szCs w:val="23"/>
        </w:rPr>
        <w:t>Real and personal property taxes are projected to increase as a result of plant additions</w:t>
      </w:r>
      <w:r w:rsidR="00374E49">
        <w:rPr>
          <w:sz w:val="23"/>
          <w:szCs w:val="23"/>
        </w:rPr>
        <w:t xml:space="preserve"> and increase in projected net income</w:t>
      </w:r>
      <w:r w:rsidRPr="00E651D1">
        <w:rPr>
          <w:sz w:val="23"/>
          <w:szCs w:val="23"/>
        </w:rPr>
        <w:t xml:space="preserve">; the </w:t>
      </w:r>
      <w:r w:rsidR="00E47543" w:rsidRPr="00E651D1">
        <w:rPr>
          <w:sz w:val="23"/>
          <w:szCs w:val="23"/>
        </w:rPr>
        <w:t xml:space="preserve">increase </w:t>
      </w:r>
      <w:r w:rsidRPr="00E651D1">
        <w:rPr>
          <w:sz w:val="23"/>
          <w:szCs w:val="23"/>
        </w:rPr>
        <w:t xml:space="preserve">in payroll taxes is primarily due to </w:t>
      </w:r>
      <w:r w:rsidR="00374E49">
        <w:rPr>
          <w:sz w:val="23"/>
          <w:szCs w:val="23"/>
        </w:rPr>
        <w:t>projected increase in employee headcount</w:t>
      </w:r>
      <w:r w:rsidRPr="00E651D1">
        <w:rPr>
          <w:sz w:val="23"/>
          <w:szCs w:val="23"/>
        </w:rPr>
        <w:t xml:space="preserve">; and </w:t>
      </w:r>
      <w:r w:rsidR="00374E49">
        <w:rPr>
          <w:sz w:val="23"/>
          <w:szCs w:val="23"/>
        </w:rPr>
        <w:t xml:space="preserve">municipal </w:t>
      </w:r>
      <w:r w:rsidRPr="00E651D1">
        <w:rPr>
          <w:sz w:val="23"/>
          <w:szCs w:val="23"/>
        </w:rPr>
        <w:t>franchise fees</w:t>
      </w:r>
      <w:r w:rsidR="00374E49">
        <w:rPr>
          <w:sz w:val="23"/>
          <w:szCs w:val="23"/>
        </w:rPr>
        <w:t xml:space="preserve"> (MFF)</w:t>
      </w:r>
      <w:r w:rsidRPr="00E651D1">
        <w:rPr>
          <w:sz w:val="23"/>
          <w:szCs w:val="23"/>
        </w:rPr>
        <w:t xml:space="preserve"> are projected to </w:t>
      </w:r>
      <w:r w:rsidR="00E47543" w:rsidRPr="00E651D1">
        <w:rPr>
          <w:sz w:val="23"/>
          <w:szCs w:val="23"/>
        </w:rPr>
        <w:t>de</w:t>
      </w:r>
      <w:r w:rsidRPr="00E651D1">
        <w:rPr>
          <w:sz w:val="23"/>
          <w:szCs w:val="23"/>
        </w:rPr>
        <w:t xml:space="preserve">crease </w:t>
      </w:r>
      <w:r w:rsidR="00374E49">
        <w:rPr>
          <w:sz w:val="23"/>
          <w:szCs w:val="23"/>
        </w:rPr>
        <w:t xml:space="preserve">at the current MFF tariff </w:t>
      </w:r>
      <w:r w:rsidR="00374E49" w:rsidRPr="00AD6722">
        <w:rPr>
          <w:sz w:val="23"/>
          <w:szCs w:val="23"/>
        </w:rPr>
        <w:t xml:space="preserve">rate </w:t>
      </w:r>
      <w:r w:rsidRPr="00AD6722">
        <w:rPr>
          <w:sz w:val="23"/>
          <w:szCs w:val="23"/>
        </w:rPr>
        <w:t xml:space="preserve">due to </w:t>
      </w:r>
      <w:r w:rsidR="00E47A72" w:rsidRPr="00AD6722">
        <w:rPr>
          <w:sz w:val="23"/>
          <w:szCs w:val="23"/>
        </w:rPr>
        <w:t>a</w:t>
      </w:r>
      <w:r w:rsidRPr="00AD6722">
        <w:rPr>
          <w:sz w:val="23"/>
          <w:szCs w:val="23"/>
        </w:rPr>
        <w:t xml:space="preserve"> </w:t>
      </w:r>
      <w:r w:rsidR="00E47543" w:rsidRPr="00AD6722">
        <w:rPr>
          <w:sz w:val="23"/>
          <w:szCs w:val="23"/>
        </w:rPr>
        <w:t>de</w:t>
      </w:r>
      <w:r w:rsidRPr="00AD6722">
        <w:rPr>
          <w:sz w:val="23"/>
          <w:szCs w:val="23"/>
        </w:rPr>
        <w:t>crease in budgeted retail revenues.</w:t>
      </w:r>
      <w:r w:rsidRPr="00E651D1">
        <w:rPr>
          <w:sz w:val="23"/>
          <w:szCs w:val="23"/>
        </w:rPr>
        <w:t xml:space="preserve">  </w:t>
      </w:r>
    </w:p>
    <w:p w:rsidR="007F5452" w:rsidRDefault="007F5452" w:rsidP="00713485">
      <w:pPr>
        <w:jc w:val="both"/>
        <w:rPr>
          <w:sz w:val="23"/>
          <w:szCs w:val="23"/>
        </w:rPr>
      </w:pPr>
    </w:p>
    <w:p w:rsidR="003A563C" w:rsidRDefault="00314200" w:rsidP="00713485">
      <w:pPr>
        <w:jc w:val="center"/>
        <w:rPr>
          <w:sz w:val="23"/>
          <w:szCs w:val="23"/>
        </w:rPr>
      </w:pPr>
      <w:r w:rsidRPr="00314200">
        <w:rPr>
          <w:noProof/>
        </w:rPr>
        <w:drawing>
          <wp:inline distT="0" distB="0" distL="0" distR="0">
            <wp:extent cx="5486400" cy="1464308"/>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464308"/>
                    </a:xfrm>
                    <a:prstGeom prst="rect">
                      <a:avLst/>
                    </a:prstGeom>
                    <a:noFill/>
                    <a:ln>
                      <a:noFill/>
                    </a:ln>
                  </pic:spPr>
                </pic:pic>
              </a:graphicData>
            </a:graphic>
          </wp:inline>
        </w:drawing>
      </w:r>
    </w:p>
    <w:p w:rsidR="000740D2" w:rsidRPr="00E651D1" w:rsidRDefault="000740D2" w:rsidP="00713485">
      <w:pPr>
        <w:jc w:val="both"/>
        <w:rPr>
          <w:sz w:val="23"/>
          <w:szCs w:val="23"/>
        </w:rPr>
      </w:pPr>
    </w:p>
    <w:bookmarkEnd w:id="2"/>
    <w:p w:rsidR="008B68EE" w:rsidRDefault="008B68EE" w:rsidP="00713485">
      <w:pPr>
        <w:jc w:val="both"/>
        <w:rPr>
          <w:sz w:val="23"/>
          <w:szCs w:val="23"/>
          <w:u w:val="single"/>
        </w:rPr>
      </w:pPr>
    </w:p>
    <w:p w:rsidR="003A563C" w:rsidRPr="00E651D1" w:rsidRDefault="003A563C" w:rsidP="00713485">
      <w:pPr>
        <w:jc w:val="both"/>
        <w:rPr>
          <w:sz w:val="23"/>
          <w:szCs w:val="23"/>
        </w:rPr>
      </w:pPr>
      <w:r w:rsidRPr="00E651D1">
        <w:rPr>
          <w:sz w:val="23"/>
          <w:szCs w:val="23"/>
          <w:u w:val="single"/>
        </w:rPr>
        <w:t xml:space="preserve">FOOTNOTE </w:t>
      </w:r>
      <w:r w:rsidR="006D269F" w:rsidRPr="00E651D1">
        <w:rPr>
          <w:sz w:val="23"/>
          <w:szCs w:val="23"/>
          <w:u w:val="single"/>
        </w:rPr>
        <w:t>A</w:t>
      </w:r>
      <w:r w:rsidR="00374B11" w:rsidRPr="00E651D1">
        <w:rPr>
          <w:sz w:val="23"/>
          <w:szCs w:val="23"/>
          <w:u w:val="single"/>
        </w:rPr>
        <w:t>B</w:t>
      </w:r>
      <w:r w:rsidRPr="00E651D1">
        <w:rPr>
          <w:sz w:val="23"/>
          <w:szCs w:val="23"/>
          <w:u w:val="single"/>
        </w:rPr>
        <w:t>/</w:t>
      </w:r>
      <w:r w:rsidR="00004AFA" w:rsidRPr="00E651D1">
        <w:rPr>
          <w:sz w:val="23"/>
          <w:szCs w:val="23"/>
        </w:rPr>
        <w:tab/>
      </w:r>
      <w:r w:rsidRPr="00E651D1">
        <w:rPr>
          <w:sz w:val="23"/>
          <w:szCs w:val="23"/>
        </w:rPr>
        <w:t xml:space="preserve"> </w:t>
      </w:r>
      <w:r w:rsidRPr="00E651D1">
        <w:rPr>
          <w:sz w:val="23"/>
          <w:szCs w:val="23"/>
          <w:u w:val="single"/>
        </w:rPr>
        <w:t xml:space="preserve">$ </w:t>
      </w:r>
      <w:r w:rsidR="00374B11" w:rsidRPr="00E651D1">
        <w:rPr>
          <w:sz w:val="23"/>
          <w:szCs w:val="23"/>
          <w:u w:val="single"/>
        </w:rPr>
        <w:t>1</w:t>
      </w:r>
      <w:r w:rsidR="0059798A">
        <w:rPr>
          <w:sz w:val="23"/>
          <w:szCs w:val="23"/>
          <w:u w:val="single"/>
        </w:rPr>
        <w:t>28,114</w:t>
      </w:r>
      <w:r w:rsidRPr="00E651D1">
        <w:rPr>
          <w:sz w:val="23"/>
          <w:szCs w:val="23"/>
        </w:rPr>
        <w:tab/>
        <w:t>Income Taxes Payable</w:t>
      </w:r>
    </w:p>
    <w:p w:rsidR="003A563C" w:rsidRPr="00E651D1" w:rsidRDefault="003A563C" w:rsidP="00713485">
      <w:pPr>
        <w:jc w:val="both"/>
        <w:rPr>
          <w:sz w:val="23"/>
          <w:szCs w:val="23"/>
        </w:rPr>
      </w:pPr>
    </w:p>
    <w:p w:rsidR="00051B2D" w:rsidRPr="00E651D1" w:rsidRDefault="003161E2" w:rsidP="00713485">
      <w:pPr>
        <w:jc w:val="both"/>
        <w:rPr>
          <w:sz w:val="23"/>
          <w:szCs w:val="23"/>
        </w:rPr>
      </w:pPr>
      <w:r w:rsidRPr="00E651D1">
        <w:rPr>
          <w:sz w:val="23"/>
          <w:szCs w:val="23"/>
        </w:rPr>
        <w:t xml:space="preserve">The increase in the income tax current provision is primarily due to </w:t>
      </w:r>
      <w:r w:rsidR="003A2D8B">
        <w:rPr>
          <w:sz w:val="23"/>
          <w:szCs w:val="23"/>
        </w:rPr>
        <w:t xml:space="preserve">lower bonus depreciation timing differences in the test period versus the historic period.  </w:t>
      </w:r>
    </w:p>
    <w:p w:rsidR="00374B11" w:rsidRPr="00E651D1" w:rsidRDefault="00374B11" w:rsidP="00713485">
      <w:pPr>
        <w:jc w:val="both"/>
        <w:rPr>
          <w:sz w:val="23"/>
          <w:szCs w:val="23"/>
          <w:u w:val="single"/>
        </w:rPr>
      </w:pPr>
    </w:p>
    <w:p w:rsidR="003A563C" w:rsidRPr="00E651D1" w:rsidRDefault="003A563C" w:rsidP="00713485">
      <w:pPr>
        <w:jc w:val="both"/>
        <w:rPr>
          <w:sz w:val="23"/>
          <w:szCs w:val="23"/>
          <w:u w:val="single"/>
        </w:rPr>
      </w:pPr>
      <w:bookmarkStart w:id="3" w:name="_Hlk10806673"/>
      <w:r w:rsidRPr="00E651D1">
        <w:rPr>
          <w:sz w:val="23"/>
          <w:szCs w:val="23"/>
          <w:u w:val="single"/>
        </w:rPr>
        <w:t xml:space="preserve">FOOTNOTE </w:t>
      </w:r>
      <w:r w:rsidR="009475F8" w:rsidRPr="00E651D1">
        <w:rPr>
          <w:sz w:val="23"/>
          <w:szCs w:val="23"/>
          <w:u w:val="single"/>
        </w:rPr>
        <w:t>A</w:t>
      </w:r>
      <w:r w:rsidR="00374B11" w:rsidRPr="00E651D1">
        <w:rPr>
          <w:sz w:val="23"/>
          <w:szCs w:val="23"/>
          <w:u w:val="single"/>
        </w:rPr>
        <w:t>C</w:t>
      </w:r>
      <w:r w:rsidRPr="00E651D1">
        <w:rPr>
          <w:sz w:val="23"/>
          <w:szCs w:val="23"/>
          <w:u w:val="single"/>
        </w:rPr>
        <w:t>/</w:t>
      </w:r>
      <w:r w:rsidRPr="00E651D1">
        <w:rPr>
          <w:sz w:val="23"/>
          <w:szCs w:val="23"/>
        </w:rPr>
        <w:tab/>
      </w:r>
      <w:r w:rsidRPr="00E651D1">
        <w:rPr>
          <w:sz w:val="23"/>
          <w:szCs w:val="23"/>
          <w:u w:val="single"/>
        </w:rPr>
        <w:t xml:space="preserve">$ </w:t>
      </w:r>
      <w:r w:rsidR="00004AFA" w:rsidRPr="00E651D1">
        <w:rPr>
          <w:sz w:val="23"/>
          <w:szCs w:val="23"/>
          <w:u w:val="single"/>
        </w:rPr>
        <w:t>(</w:t>
      </w:r>
      <w:r w:rsidR="00374B11" w:rsidRPr="00E651D1">
        <w:rPr>
          <w:sz w:val="23"/>
          <w:szCs w:val="23"/>
          <w:u w:val="single"/>
        </w:rPr>
        <w:t>2</w:t>
      </w:r>
      <w:r w:rsidR="0059798A">
        <w:rPr>
          <w:sz w:val="23"/>
          <w:szCs w:val="23"/>
          <w:u w:val="single"/>
        </w:rPr>
        <w:t>87,445</w:t>
      </w:r>
      <w:r w:rsidR="00004AFA" w:rsidRPr="00E651D1">
        <w:rPr>
          <w:sz w:val="23"/>
          <w:szCs w:val="23"/>
          <w:u w:val="single"/>
        </w:rPr>
        <w:t>)</w:t>
      </w:r>
      <w:r w:rsidRPr="00E651D1">
        <w:rPr>
          <w:sz w:val="23"/>
          <w:szCs w:val="23"/>
        </w:rPr>
        <w:tab/>
        <w:t xml:space="preserve"> Deferred Income Taxes</w:t>
      </w:r>
    </w:p>
    <w:p w:rsidR="003A563C" w:rsidRPr="00E651D1" w:rsidRDefault="003A563C" w:rsidP="00713485">
      <w:pPr>
        <w:jc w:val="both"/>
        <w:rPr>
          <w:sz w:val="23"/>
          <w:szCs w:val="23"/>
        </w:rPr>
      </w:pPr>
    </w:p>
    <w:p w:rsidR="009D0000" w:rsidRPr="00E651D1" w:rsidRDefault="00F41F96" w:rsidP="00713485">
      <w:pPr>
        <w:jc w:val="both"/>
        <w:rPr>
          <w:sz w:val="23"/>
          <w:szCs w:val="23"/>
        </w:rPr>
      </w:pPr>
      <w:r w:rsidRPr="00E651D1">
        <w:rPr>
          <w:sz w:val="23"/>
          <w:szCs w:val="23"/>
        </w:rPr>
        <w:t>The decrease in the net provision for deferred income taxes is primarily from the</w:t>
      </w:r>
      <w:r w:rsidR="002E50C4">
        <w:rPr>
          <w:sz w:val="23"/>
          <w:szCs w:val="23"/>
        </w:rPr>
        <w:t xml:space="preserve"> proposed</w:t>
      </w:r>
      <w:r w:rsidRPr="00E651D1">
        <w:rPr>
          <w:sz w:val="23"/>
          <w:szCs w:val="23"/>
        </w:rPr>
        <w:t xml:space="preserve"> amortization of </w:t>
      </w:r>
      <w:r w:rsidR="002E50C4">
        <w:rPr>
          <w:sz w:val="23"/>
          <w:szCs w:val="23"/>
        </w:rPr>
        <w:t xml:space="preserve">protected and unprotected </w:t>
      </w:r>
      <w:r w:rsidRPr="00E651D1">
        <w:rPr>
          <w:sz w:val="23"/>
          <w:szCs w:val="23"/>
        </w:rPr>
        <w:t xml:space="preserve">excess </w:t>
      </w:r>
      <w:r w:rsidR="002E50C4">
        <w:rPr>
          <w:sz w:val="23"/>
          <w:szCs w:val="23"/>
        </w:rPr>
        <w:t>ADITs</w:t>
      </w:r>
      <w:r w:rsidRPr="00E651D1">
        <w:rPr>
          <w:sz w:val="23"/>
          <w:szCs w:val="23"/>
        </w:rPr>
        <w:t xml:space="preserve"> </w:t>
      </w:r>
      <w:r w:rsidR="002E50C4">
        <w:rPr>
          <w:sz w:val="23"/>
          <w:szCs w:val="23"/>
        </w:rPr>
        <w:t xml:space="preserve">beginning </w:t>
      </w:r>
      <w:r w:rsidRPr="00E651D1">
        <w:rPr>
          <w:sz w:val="23"/>
          <w:szCs w:val="23"/>
        </w:rPr>
        <w:t>in 2020</w:t>
      </w:r>
      <w:r w:rsidR="002E50C4">
        <w:rPr>
          <w:sz w:val="23"/>
          <w:szCs w:val="23"/>
        </w:rPr>
        <w:t xml:space="preserve"> </w:t>
      </w:r>
      <w:r w:rsidR="003A2D8B">
        <w:rPr>
          <w:sz w:val="23"/>
          <w:szCs w:val="23"/>
        </w:rPr>
        <w:t xml:space="preserve">and lower bonus depreciation timing differences in the test period versus the historical period.  </w:t>
      </w:r>
    </w:p>
    <w:p w:rsidR="00FC22B1" w:rsidRPr="00E651D1" w:rsidRDefault="00FC22B1" w:rsidP="00713485">
      <w:pPr>
        <w:jc w:val="both"/>
        <w:rPr>
          <w:sz w:val="23"/>
          <w:szCs w:val="23"/>
          <w:u w:val="single"/>
        </w:rPr>
      </w:pPr>
      <w:bookmarkStart w:id="4" w:name="_MON_1335592376"/>
      <w:bookmarkStart w:id="5" w:name="_MON_1335593055"/>
      <w:bookmarkStart w:id="6" w:name="_MON_1335593114"/>
      <w:bookmarkStart w:id="7" w:name="_MON_1335784869"/>
      <w:bookmarkStart w:id="8" w:name="_MON_1335784901"/>
      <w:bookmarkStart w:id="9" w:name="_MON_1335785011"/>
      <w:bookmarkStart w:id="10" w:name="_MON_1335786538"/>
      <w:bookmarkStart w:id="11" w:name="_MON_1337338658"/>
      <w:bookmarkStart w:id="12" w:name="_MON_1338363796"/>
      <w:bookmarkStart w:id="13" w:name="_MON_1338364430"/>
      <w:bookmarkStart w:id="14" w:name="_MON_1338364494"/>
      <w:bookmarkStart w:id="15" w:name="_MON_1338547088"/>
      <w:bookmarkStart w:id="16" w:name="_MON_1338547100"/>
      <w:bookmarkStart w:id="17" w:name="_MON_1338547176"/>
      <w:bookmarkStart w:id="18" w:name="_MON_1338895394"/>
      <w:bookmarkStart w:id="19" w:name="_MON_1338895476"/>
      <w:bookmarkStart w:id="20" w:name="_MON_1335590897"/>
      <w:bookmarkStart w:id="21" w:name="_MON_1335591302"/>
      <w:bookmarkStart w:id="22" w:name="_MON_1335591624"/>
      <w:bookmarkStart w:id="23" w:name="_MON_133559207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3"/>
    </w:p>
    <w:p w:rsidR="003A563C" w:rsidRPr="00E651D1" w:rsidRDefault="003A563C" w:rsidP="00713485">
      <w:pPr>
        <w:jc w:val="both"/>
        <w:rPr>
          <w:sz w:val="23"/>
          <w:szCs w:val="23"/>
        </w:rPr>
      </w:pPr>
      <w:r w:rsidRPr="00E651D1">
        <w:rPr>
          <w:sz w:val="23"/>
          <w:szCs w:val="23"/>
          <w:u w:val="single"/>
        </w:rPr>
        <w:t xml:space="preserve">FOOTNOTE </w:t>
      </w:r>
      <w:r w:rsidR="00DD6E01" w:rsidRPr="00E651D1">
        <w:rPr>
          <w:sz w:val="23"/>
          <w:szCs w:val="23"/>
          <w:u w:val="single"/>
        </w:rPr>
        <w:t>A</w:t>
      </w:r>
      <w:r w:rsidR="00771562" w:rsidRPr="00E651D1">
        <w:rPr>
          <w:sz w:val="23"/>
          <w:szCs w:val="23"/>
          <w:u w:val="single"/>
        </w:rPr>
        <w:t>D</w:t>
      </w:r>
      <w:r w:rsidRPr="00E651D1">
        <w:rPr>
          <w:sz w:val="23"/>
          <w:szCs w:val="23"/>
          <w:u w:val="single"/>
        </w:rPr>
        <w:t>/</w:t>
      </w:r>
      <w:r w:rsidRPr="00E651D1">
        <w:rPr>
          <w:sz w:val="23"/>
          <w:szCs w:val="23"/>
        </w:rPr>
        <w:tab/>
      </w:r>
      <w:r w:rsidRPr="00E651D1">
        <w:rPr>
          <w:sz w:val="23"/>
          <w:szCs w:val="23"/>
          <w:u w:val="single"/>
        </w:rPr>
        <w:t>$ (</w:t>
      </w:r>
      <w:r w:rsidR="005B6A96" w:rsidRPr="00E651D1">
        <w:rPr>
          <w:sz w:val="23"/>
          <w:szCs w:val="23"/>
          <w:u w:val="single"/>
        </w:rPr>
        <w:t>127</w:t>
      </w:r>
      <w:r w:rsidRPr="00E651D1">
        <w:rPr>
          <w:sz w:val="23"/>
          <w:szCs w:val="23"/>
          <w:u w:val="single"/>
        </w:rPr>
        <w:t>)</w:t>
      </w:r>
      <w:r w:rsidRPr="00E651D1">
        <w:rPr>
          <w:sz w:val="23"/>
          <w:szCs w:val="23"/>
        </w:rPr>
        <w:tab/>
        <w:t xml:space="preserve"> </w:t>
      </w:r>
      <w:r w:rsidR="00031718" w:rsidRPr="00E651D1">
        <w:rPr>
          <w:sz w:val="23"/>
          <w:szCs w:val="23"/>
        </w:rPr>
        <w:tab/>
      </w:r>
      <w:r w:rsidRPr="00E651D1">
        <w:rPr>
          <w:sz w:val="23"/>
          <w:szCs w:val="23"/>
        </w:rPr>
        <w:t>Interest on Customer Deposits</w:t>
      </w:r>
    </w:p>
    <w:p w:rsidR="003A563C" w:rsidRPr="00E651D1" w:rsidRDefault="003A563C" w:rsidP="00713485">
      <w:pPr>
        <w:jc w:val="both"/>
        <w:rPr>
          <w:sz w:val="23"/>
          <w:szCs w:val="23"/>
        </w:rPr>
      </w:pPr>
    </w:p>
    <w:p w:rsidR="00AE5DA7" w:rsidRDefault="003A563C" w:rsidP="00713485">
      <w:pPr>
        <w:jc w:val="both"/>
        <w:rPr>
          <w:sz w:val="23"/>
          <w:szCs w:val="23"/>
          <w:u w:val="single"/>
        </w:rPr>
      </w:pPr>
      <w:r w:rsidRPr="00E651D1">
        <w:rPr>
          <w:sz w:val="23"/>
          <w:szCs w:val="23"/>
        </w:rPr>
        <w:t>Th</w:t>
      </w:r>
      <w:r w:rsidR="00374E49">
        <w:rPr>
          <w:sz w:val="23"/>
          <w:szCs w:val="23"/>
        </w:rPr>
        <w:t>e</w:t>
      </w:r>
      <w:r w:rsidRPr="00E651D1">
        <w:rPr>
          <w:sz w:val="23"/>
          <w:szCs w:val="23"/>
        </w:rPr>
        <w:t xml:space="preserve"> </w:t>
      </w:r>
      <w:r w:rsidR="009C26E0" w:rsidRPr="00E651D1">
        <w:rPr>
          <w:sz w:val="23"/>
          <w:szCs w:val="23"/>
        </w:rPr>
        <w:t>in</w:t>
      </w:r>
      <w:r w:rsidRPr="00E651D1">
        <w:rPr>
          <w:sz w:val="23"/>
          <w:szCs w:val="23"/>
        </w:rPr>
        <w:t>crease results from</w:t>
      </w:r>
      <w:r w:rsidR="00374E49">
        <w:rPr>
          <w:sz w:val="23"/>
          <w:szCs w:val="23"/>
        </w:rPr>
        <w:t xml:space="preserve"> a projected increase</w:t>
      </w:r>
      <w:r w:rsidRPr="00E651D1">
        <w:rPr>
          <w:sz w:val="23"/>
          <w:szCs w:val="23"/>
        </w:rPr>
        <w:t xml:space="preserve"> in </w:t>
      </w:r>
      <w:r w:rsidR="00C21687" w:rsidRPr="00E651D1">
        <w:rPr>
          <w:sz w:val="23"/>
          <w:szCs w:val="23"/>
        </w:rPr>
        <w:t>c</w:t>
      </w:r>
      <w:r w:rsidRPr="00E651D1">
        <w:rPr>
          <w:sz w:val="23"/>
          <w:szCs w:val="23"/>
        </w:rPr>
        <w:t xml:space="preserve">ustomer </w:t>
      </w:r>
      <w:r w:rsidR="00C21687" w:rsidRPr="00E651D1">
        <w:rPr>
          <w:sz w:val="23"/>
          <w:szCs w:val="23"/>
        </w:rPr>
        <w:t>d</w:t>
      </w:r>
      <w:r w:rsidRPr="00E651D1">
        <w:rPr>
          <w:sz w:val="23"/>
          <w:szCs w:val="23"/>
        </w:rPr>
        <w:t>eposits</w:t>
      </w:r>
      <w:r w:rsidR="00374E49">
        <w:rPr>
          <w:sz w:val="23"/>
          <w:szCs w:val="23"/>
        </w:rPr>
        <w:t xml:space="preserve"> balance</w:t>
      </w:r>
      <w:r w:rsidRPr="00E651D1">
        <w:rPr>
          <w:sz w:val="23"/>
          <w:szCs w:val="23"/>
        </w:rPr>
        <w:t xml:space="preserve"> as </w:t>
      </w:r>
      <w:r w:rsidR="00A70EA0" w:rsidRPr="00E651D1">
        <w:rPr>
          <w:sz w:val="23"/>
          <w:szCs w:val="23"/>
        </w:rPr>
        <w:t>shown</w:t>
      </w:r>
      <w:r w:rsidRPr="00E651D1">
        <w:rPr>
          <w:sz w:val="23"/>
          <w:szCs w:val="23"/>
        </w:rPr>
        <w:t xml:space="preserve"> in </w:t>
      </w:r>
      <w:r w:rsidR="00C2237E" w:rsidRPr="00E651D1">
        <w:rPr>
          <w:sz w:val="23"/>
          <w:szCs w:val="23"/>
        </w:rPr>
        <w:t>FOOTNOTE</w:t>
      </w:r>
      <w:r w:rsidRPr="00E651D1">
        <w:rPr>
          <w:sz w:val="23"/>
          <w:szCs w:val="23"/>
        </w:rPr>
        <w:t xml:space="preserve"> </w:t>
      </w:r>
      <w:r w:rsidR="006F7841" w:rsidRPr="00E651D1">
        <w:rPr>
          <w:sz w:val="23"/>
          <w:szCs w:val="23"/>
        </w:rPr>
        <w:t>A</w:t>
      </w:r>
      <w:r w:rsidR="00374E49">
        <w:rPr>
          <w:sz w:val="23"/>
          <w:szCs w:val="23"/>
        </w:rPr>
        <w:t>N</w:t>
      </w:r>
      <w:r w:rsidRPr="00E651D1">
        <w:rPr>
          <w:sz w:val="23"/>
          <w:szCs w:val="23"/>
        </w:rPr>
        <w:t>/.</w:t>
      </w:r>
    </w:p>
    <w:p w:rsidR="00AE5DA7" w:rsidRDefault="00AE5DA7" w:rsidP="00713485">
      <w:pPr>
        <w:jc w:val="both"/>
        <w:rPr>
          <w:sz w:val="23"/>
          <w:szCs w:val="23"/>
          <w:u w:val="single"/>
        </w:rPr>
      </w:pPr>
    </w:p>
    <w:p w:rsidR="003A2D8B" w:rsidRDefault="003A2D8B">
      <w:pPr>
        <w:rPr>
          <w:sz w:val="23"/>
          <w:szCs w:val="23"/>
          <w:u w:val="single"/>
        </w:rPr>
      </w:pPr>
      <w:r>
        <w:rPr>
          <w:sz w:val="23"/>
          <w:szCs w:val="23"/>
          <w:u w:val="single"/>
        </w:rPr>
        <w:br w:type="page"/>
      </w:r>
    </w:p>
    <w:p w:rsidR="003A563C" w:rsidRPr="00E651D1" w:rsidRDefault="003A563C" w:rsidP="00713485">
      <w:pPr>
        <w:jc w:val="both"/>
        <w:rPr>
          <w:sz w:val="23"/>
          <w:szCs w:val="23"/>
        </w:rPr>
      </w:pPr>
      <w:r w:rsidRPr="00E651D1">
        <w:rPr>
          <w:sz w:val="23"/>
          <w:szCs w:val="23"/>
          <w:u w:val="single"/>
        </w:rPr>
        <w:lastRenderedPageBreak/>
        <w:t xml:space="preserve">FOOTNOTE </w:t>
      </w:r>
      <w:r w:rsidR="00DD6E01" w:rsidRPr="00E651D1">
        <w:rPr>
          <w:sz w:val="23"/>
          <w:szCs w:val="23"/>
          <w:u w:val="single"/>
        </w:rPr>
        <w:t>A</w:t>
      </w:r>
      <w:r w:rsidR="00771562" w:rsidRPr="00E651D1">
        <w:rPr>
          <w:sz w:val="23"/>
          <w:szCs w:val="23"/>
          <w:u w:val="single"/>
        </w:rPr>
        <w:t>E</w:t>
      </w:r>
      <w:r w:rsidR="00533B94" w:rsidRPr="00E651D1">
        <w:rPr>
          <w:sz w:val="23"/>
          <w:szCs w:val="23"/>
          <w:u w:val="single"/>
        </w:rPr>
        <w:t>/</w:t>
      </w:r>
      <w:r w:rsidRPr="00E651D1">
        <w:rPr>
          <w:sz w:val="23"/>
          <w:szCs w:val="23"/>
        </w:rPr>
        <w:tab/>
      </w:r>
      <w:r w:rsidRPr="00E651D1">
        <w:rPr>
          <w:sz w:val="23"/>
          <w:szCs w:val="23"/>
          <w:u w:val="single"/>
        </w:rPr>
        <w:t xml:space="preserve">$ </w:t>
      </w:r>
      <w:r w:rsidR="005B6A96" w:rsidRPr="00E651D1">
        <w:rPr>
          <w:sz w:val="23"/>
          <w:szCs w:val="23"/>
          <w:u w:val="single"/>
        </w:rPr>
        <w:t>4,</w:t>
      </w:r>
      <w:r w:rsidR="002109C8" w:rsidRPr="00E651D1">
        <w:rPr>
          <w:sz w:val="23"/>
          <w:szCs w:val="23"/>
          <w:u w:val="single"/>
        </w:rPr>
        <w:t>087,789</w:t>
      </w:r>
      <w:r w:rsidRPr="00E651D1">
        <w:rPr>
          <w:sz w:val="23"/>
          <w:szCs w:val="23"/>
        </w:rPr>
        <w:tab/>
        <w:t>Electric-Plant-in-Service</w:t>
      </w:r>
    </w:p>
    <w:p w:rsidR="003A563C" w:rsidRPr="00E651D1" w:rsidRDefault="003A563C" w:rsidP="00713485">
      <w:pPr>
        <w:jc w:val="both"/>
        <w:rPr>
          <w:sz w:val="23"/>
          <w:szCs w:val="23"/>
        </w:rPr>
      </w:pPr>
    </w:p>
    <w:p w:rsidR="002F19F1" w:rsidRDefault="00374E49" w:rsidP="00713485">
      <w:pPr>
        <w:jc w:val="both"/>
        <w:rPr>
          <w:sz w:val="23"/>
          <w:szCs w:val="23"/>
        </w:rPr>
      </w:pPr>
      <w:r>
        <w:rPr>
          <w:sz w:val="23"/>
          <w:szCs w:val="23"/>
        </w:rPr>
        <w:t>The change in electric-plant-in-service</w:t>
      </w:r>
      <w:r w:rsidR="00BE08C4">
        <w:rPr>
          <w:sz w:val="23"/>
          <w:szCs w:val="23"/>
        </w:rPr>
        <w:t xml:space="preserve"> is provided by function below:</w:t>
      </w:r>
    </w:p>
    <w:p w:rsidR="003A2D8B" w:rsidRPr="003A2D8B" w:rsidRDefault="003A2D8B" w:rsidP="00713485">
      <w:pPr>
        <w:jc w:val="both"/>
        <w:rPr>
          <w:sz w:val="23"/>
          <w:szCs w:val="23"/>
        </w:rPr>
      </w:pPr>
    </w:p>
    <w:p w:rsidR="002F19F1" w:rsidRPr="00E651D1" w:rsidRDefault="00374E49" w:rsidP="00713485">
      <w:pPr>
        <w:jc w:val="center"/>
        <w:rPr>
          <w:sz w:val="23"/>
          <w:szCs w:val="23"/>
        </w:rPr>
      </w:pPr>
      <w:r w:rsidRPr="00374E49">
        <w:rPr>
          <w:noProof/>
        </w:rPr>
        <w:drawing>
          <wp:inline distT="0" distB="0" distL="0" distR="0">
            <wp:extent cx="4968240" cy="18440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8240" cy="1844040"/>
                    </a:xfrm>
                    <a:prstGeom prst="rect">
                      <a:avLst/>
                    </a:prstGeom>
                    <a:noFill/>
                    <a:ln>
                      <a:noFill/>
                    </a:ln>
                  </pic:spPr>
                </pic:pic>
              </a:graphicData>
            </a:graphic>
          </wp:inline>
        </w:drawing>
      </w:r>
    </w:p>
    <w:p w:rsidR="002F19F1" w:rsidRPr="00E651D1" w:rsidRDefault="002F19F1" w:rsidP="00713485">
      <w:pPr>
        <w:jc w:val="both"/>
        <w:rPr>
          <w:sz w:val="23"/>
          <w:szCs w:val="23"/>
        </w:rPr>
      </w:pPr>
    </w:p>
    <w:p w:rsidR="002F19F1" w:rsidRPr="00E651D1" w:rsidRDefault="002F19F1" w:rsidP="00713485">
      <w:pPr>
        <w:jc w:val="both"/>
        <w:rPr>
          <w:sz w:val="23"/>
          <w:szCs w:val="23"/>
        </w:rPr>
      </w:pPr>
      <w:r w:rsidRPr="00E651D1">
        <w:rPr>
          <w:sz w:val="23"/>
          <w:szCs w:val="23"/>
        </w:rPr>
        <w:t xml:space="preserve">The increase in production plant is primarily due to additional environmental controls required to comply with state and federal legislation and other additions and improvements to various generating plants during the test period. These increases were partially offset by the </w:t>
      </w:r>
      <w:r w:rsidR="00BE08C4">
        <w:rPr>
          <w:sz w:val="23"/>
          <w:szCs w:val="23"/>
        </w:rPr>
        <w:t xml:space="preserve">proposed </w:t>
      </w:r>
      <w:r w:rsidR="0089221E">
        <w:rPr>
          <w:sz w:val="23"/>
          <w:szCs w:val="23"/>
        </w:rPr>
        <w:t>de</w:t>
      </w:r>
      <w:r w:rsidR="00BE08C4">
        <w:rPr>
          <w:sz w:val="23"/>
          <w:szCs w:val="23"/>
        </w:rPr>
        <w:t>certification</w:t>
      </w:r>
      <w:r w:rsidRPr="00E651D1">
        <w:rPr>
          <w:sz w:val="23"/>
          <w:szCs w:val="23"/>
        </w:rPr>
        <w:t xml:space="preserve"> of Plant</w:t>
      </w:r>
      <w:r w:rsidR="00BE08C4">
        <w:rPr>
          <w:sz w:val="23"/>
          <w:szCs w:val="23"/>
        </w:rPr>
        <w:t>s</w:t>
      </w:r>
      <w:r w:rsidRPr="00E651D1">
        <w:rPr>
          <w:sz w:val="23"/>
          <w:szCs w:val="23"/>
        </w:rPr>
        <w:t xml:space="preserve"> Hammond and McIntosh steam facilities, and Plant</w:t>
      </w:r>
      <w:r w:rsidR="00BE08C4">
        <w:rPr>
          <w:sz w:val="23"/>
          <w:szCs w:val="23"/>
        </w:rPr>
        <w:t>s</w:t>
      </w:r>
      <w:r w:rsidRPr="00E651D1">
        <w:rPr>
          <w:sz w:val="23"/>
          <w:szCs w:val="23"/>
        </w:rPr>
        <w:t xml:space="preserve"> Estatoah, Langdale, and Riverview hydro facilities.</w:t>
      </w:r>
    </w:p>
    <w:p w:rsidR="002F19F1" w:rsidRPr="00E651D1" w:rsidRDefault="002F19F1" w:rsidP="00713485">
      <w:pPr>
        <w:jc w:val="both"/>
        <w:rPr>
          <w:sz w:val="23"/>
          <w:szCs w:val="23"/>
        </w:rPr>
      </w:pPr>
    </w:p>
    <w:p w:rsidR="002F19F1" w:rsidRPr="00E651D1" w:rsidRDefault="002F19F1" w:rsidP="00713485">
      <w:pPr>
        <w:jc w:val="both"/>
        <w:rPr>
          <w:sz w:val="23"/>
          <w:szCs w:val="23"/>
        </w:rPr>
      </w:pPr>
      <w:r w:rsidRPr="00E651D1">
        <w:rPr>
          <w:sz w:val="23"/>
          <w:szCs w:val="23"/>
        </w:rPr>
        <w:t>The increase in transmission plant is primarily due to transmission line and substation improvements, and construction of new substations and transmission lines.</w:t>
      </w:r>
    </w:p>
    <w:p w:rsidR="002F19F1" w:rsidRPr="00E651D1" w:rsidRDefault="002F19F1" w:rsidP="00713485">
      <w:pPr>
        <w:jc w:val="both"/>
        <w:rPr>
          <w:sz w:val="23"/>
          <w:szCs w:val="23"/>
        </w:rPr>
      </w:pPr>
    </w:p>
    <w:p w:rsidR="002F19F1" w:rsidRPr="00E651D1" w:rsidRDefault="002F19F1" w:rsidP="00713485">
      <w:pPr>
        <w:jc w:val="both"/>
        <w:rPr>
          <w:sz w:val="23"/>
          <w:szCs w:val="23"/>
        </w:rPr>
      </w:pPr>
      <w:r w:rsidRPr="00E651D1">
        <w:rPr>
          <w:sz w:val="23"/>
          <w:szCs w:val="23"/>
        </w:rPr>
        <w:t>The increase in distribution plant is primarily due to construction and improvement of distribution lines and substations, and the purchase and installation of customer meters, substations, distribution transformers, and underground systems which serve new and existing customers.</w:t>
      </w:r>
    </w:p>
    <w:p w:rsidR="002F19F1" w:rsidRPr="00E651D1" w:rsidRDefault="002F19F1" w:rsidP="00713485">
      <w:pPr>
        <w:jc w:val="both"/>
        <w:rPr>
          <w:sz w:val="23"/>
          <w:szCs w:val="23"/>
        </w:rPr>
      </w:pPr>
    </w:p>
    <w:p w:rsidR="002F19F1" w:rsidRPr="00E651D1" w:rsidRDefault="002F19F1" w:rsidP="00713485">
      <w:pPr>
        <w:jc w:val="both"/>
        <w:rPr>
          <w:sz w:val="23"/>
          <w:szCs w:val="23"/>
        </w:rPr>
      </w:pPr>
      <w:r w:rsidRPr="00E651D1">
        <w:rPr>
          <w:sz w:val="23"/>
          <w:szCs w:val="23"/>
        </w:rPr>
        <w:t>The increase in general plant is primarily due to additions and capital improvements to region facilities, fleet vehicles, communication equipment, and tools and testing equipment.</w:t>
      </w:r>
    </w:p>
    <w:p w:rsidR="002F19F1" w:rsidRPr="00E651D1" w:rsidRDefault="002F19F1" w:rsidP="00713485">
      <w:pPr>
        <w:jc w:val="both"/>
        <w:rPr>
          <w:sz w:val="23"/>
          <w:szCs w:val="23"/>
        </w:rPr>
      </w:pPr>
    </w:p>
    <w:p w:rsidR="009E1CE4" w:rsidRPr="00E651D1" w:rsidRDefault="002F19F1" w:rsidP="00713485">
      <w:pPr>
        <w:jc w:val="both"/>
        <w:rPr>
          <w:sz w:val="23"/>
          <w:szCs w:val="23"/>
        </w:rPr>
      </w:pPr>
      <w:r w:rsidRPr="00E651D1">
        <w:rPr>
          <w:sz w:val="23"/>
          <w:szCs w:val="23"/>
        </w:rPr>
        <w:t>The increase in intangible plant is primarily due to work management systems, security systems, and software system upgrades to corporate business systems.</w:t>
      </w:r>
    </w:p>
    <w:p w:rsidR="002F19F1" w:rsidRPr="00E651D1" w:rsidRDefault="002F19F1" w:rsidP="00713485">
      <w:pPr>
        <w:jc w:val="both"/>
        <w:rPr>
          <w:sz w:val="23"/>
          <w:szCs w:val="23"/>
          <w:u w:val="single"/>
        </w:rPr>
      </w:pPr>
    </w:p>
    <w:p w:rsidR="003A563C" w:rsidRPr="00E651D1" w:rsidRDefault="003A563C" w:rsidP="00713485">
      <w:pPr>
        <w:jc w:val="both"/>
        <w:rPr>
          <w:sz w:val="23"/>
          <w:szCs w:val="23"/>
        </w:rPr>
      </w:pPr>
      <w:r w:rsidRPr="00630F40">
        <w:rPr>
          <w:sz w:val="23"/>
          <w:szCs w:val="23"/>
          <w:u w:val="single"/>
        </w:rPr>
        <w:t xml:space="preserve">FOOTNOTE </w:t>
      </w:r>
      <w:r w:rsidR="00DD6E01" w:rsidRPr="00630F40">
        <w:rPr>
          <w:sz w:val="23"/>
          <w:szCs w:val="23"/>
          <w:u w:val="single"/>
        </w:rPr>
        <w:t>A</w:t>
      </w:r>
      <w:r w:rsidR="00771562" w:rsidRPr="00630F40">
        <w:rPr>
          <w:sz w:val="23"/>
          <w:szCs w:val="23"/>
          <w:u w:val="single"/>
        </w:rPr>
        <w:t>F</w:t>
      </w:r>
      <w:r w:rsidR="00DD6E01" w:rsidRPr="00630F40">
        <w:rPr>
          <w:sz w:val="23"/>
          <w:szCs w:val="23"/>
          <w:u w:val="single"/>
        </w:rPr>
        <w:t>/</w:t>
      </w:r>
      <w:r w:rsidRPr="00630F40">
        <w:rPr>
          <w:sz w:val="23"/>
          <w:szCs w:val="23"/>
        </w:rPr>
        <w:tab/>
      </w:r>
      <w:r w:rsidRPr="00630F40">
        <w:rPr>
          <w:sz w:val="23"/>
          <w:szCs w:val="23"/>
          <w:u w:val="single"/>
        </w:rPr>
        <w:t xml:space="preserve">$ </w:t>
      </w:r>
      <w:r w:rsidR="005B6A96" w:rsidRPr="00630F40">
        <w:rPr>
          <w:sz w:val="23"/>
          <w:szCs w:val="23"/>
          <w:u w:val="single"/>
        </w:rPr>
        <w:t>67,108</w:t>
      </w:r>
      <w:r w:rsidRPr="00630F40">
        <w:rPr>
          <w:sz w:val="23"/>
          <w:szCs w:val="23"/>
        </w:rPr>
        <w:tab/>
        <w:t xml:space="preserve">Nuclear Fuel </w:t>
      </w:r>
    </w:p>
    <w:p w:rsidR="003A563C" w:rsidRPr="00E651D1" w:rsidRDefault="003A563C" w:rsidP="00713485">
      <w:pPr>
        <w:jc w:val="both"/>
        <w:rPr>
          <w:sz w:val="23"/>
          <w:szCs w:val="23"/>
        </w:rPr>
      </w:pPr>
    </w:p>
    <w:p w:rsidR="00630F40" w:rsidRDefault="00EC0BB5" w:rsidP="00713485">
      <w:pPr>
        <w:pStyle w:val="BodyText"/>
        <w:jc w:val="both"/>
        <w:rPr>
          <w:sz w:val="23"/>
          <w:szCs w:val="23"/>
          <w:u w:val="single"/>
        </w:rPr>
      </w:pPr>
      <w:r w:rsidRPr="00E651D1">
        <w:rPr>
          <w:rFonts w:ascii="Times New Roman" w:hAnsi="Times New Roman"/>
          <w:sz w:val="23"/>
          <w:szCs w:val="23"/>
        </w:rPr>
        <w:t xml:space="preserve">The </w:t>
      </w:r>
      <w:r w:rsidR="00BE08C4">
        <w:rPr>
          <w:rFonts w:ascii="Times New Roman" w:hAnsi="Times New Roman"/>
          <w:sz w:val="23"/>
          <w:szCs w:val="23"/>
        </w:rPr>
        <w:t>increase is</w:t>
      </w:r>
      <w:r w:rsidRPr="00E651D1">
        <w:rPr>
          <w:rFonts w:ascii="Times New Roman" w:hAnsi="Times New Roman"/>
          <w:sz w:val="23"/>
          <w:szCs w:val="23"/>
        </w:rPr>
        <w:t xml:space="preserve"> primarily</w:t>
      </w:r>
      <w:r w:rsidR="00630F40">
        <w:rPr>
          <w:rFonts w:ascii="Times New Roman" w:hAnsi="Times New Roman"/>
          <w:sz w:val="23"/>
          <w:szCs w:val="23"/>
        </w:rPr>
        <w:t xml:space="preserve"> driven by</w:t>
      </w:r>
      <w:r w:rsidRPr="00E651D1">
        <w:rPr>
          <w:rFonts w:ascii="Times New Roman" w:hAnsi="Times New Roman"/>
          <w:sz w:val="23"/>
          <w:szCs w:val="23"/>
        </w:rPr>
        <w:t xml:space="preserve"> the </w:t>
      </w:r>
      <w:r w:rsidR="00630F40">
        <w:rPr>
          <w:rFonts w:ascii="Times New Roman" w:hAnsi="Times New Roman"/>
          <w:sz w:val="23"/>
          <w:szCs w:val="23"/>
        </w:rPr>
        <w:t>impact of FOOTNOTE I/, which removes the nuclear fuel associated with Plant Vogtle Units 3 and 4</w:t>
      </w:r>
      <w:r w:rsidR="0089221E">
        <w:rPr>
          <w:rFonts w:ascii="Times New Roman" w:hAnsi="Times New Roman"/>
          <w:sz w:val="23"/>
          <w:szCs w:val="23"/>
        </w:rPr>
        <w:t xml:space="preserve"> in 2018</w:t>
      </w:r>
      <w:r w:rsidR="00630F40">
        <w:rPr>
          <w:rFonts w:ascii="Times New Roman" w:hAnsi="Times New Roman"/>
          <w:sz w:val="23"/>
          <w:szCs w:val="23"/>
        </w:rPr>
        <w:t>, offset by the Plant Vogtle Unit 3 initial core fuel stock moving from plant-in-service to CWIP.  N</w:t>
      </w:r>
      <w:r w:rsidR="002F77C4" w:rsidRPr="00965367">
        <w:rPr>
          <w:rFonts w:ascii="Times New Roman" w:hAnsi="Times New Roman"/>
          <w:sz w:val="23"/>
          <w:szCs w:val="23"/>
        </w:rPr>
        <w:t>uclear fuel</w:t>
      </w:r>
      <w:r w:rsidR="00ED4FC9" w:rsidRPr="00965367">
        <w:rPr>
          <w:rFonts w:ascii="Times New Roman" w:hAnsi="Times New Roman"/>
          <w:sz w:val="23"/>
          <w:szCs w:val="23"/>
        </w:rPr>
        <w:t xml:space="preserve"> associated with Plant Vogtle Units 3</w:t>
      </w:r>
      <w:r w:rsidR="00BE08C4">
        <w:rPr>
          <w:rFonts w:ascii="Times New Roman" w:hAnsi="Times New Roman"/>
          <w:sz w:val="23"/>
          <w:szCs w:val="23"/>
        </w:rPr>
        <w:t xml:space="preserve"> and </w:t>
      </w:r>
      <w:r w:rsidR="00ED4FC9" w:rsidRPr="00965367">
        <w:rPr>
          <w:rFonts w:ascii="Times New Roman" w:hAnsi="Times New Roman"/>
          <w:sz w:val="23"/>
          <w:szCs w:val="23"/>
        </w:rPr>
        <w:t>4 is</w:t>
      </w:r>
      <w:r w:rsidR="002F77C4" w:rsidRPr="00965367">
        <w:rPr>
          <w:rFonts w:ascii="Times New Roman" w:hAnsi="Times New Roman"/>
          <w:sz w:val="23"/>
          <w:szCs w:val="23"/>
        </w:rPr>
        <w:t xml:space="preserve"> removed from rate base in </w:t>
      </w:r>
      <w:r w:rsidR="0089221E">
        <w:rPr>
          <w:rFonts w:ascii="Times New Roman" w:hAnsi="Times New Roman"/>
          <w:sz w:val="23"/>
          <w:szCs w:val="23"/>
        </w:rPr>
        <w:t xml:space="preserve">the test period by </w:t>
      </w:r>
      <w:r w:rsidR="002F77C4" w:rsidRPr="00965367">
        <w:rPr>
          <w:rFonts w:ascii="Times New Roman" w:hAnsi="Times New Roman"/>
          <w:sz w:val="23"/>
          <w:szCs w:val="23"/>
        </w:rPr>
        <w:t xml:space="preserve">FOOTNOTE </w:t>
      </w:r>
      <w:r w:rsidR="00006B43" w:rsidRPr="00965367">
        <w:rPr>
          <w:rFonts w:ascii="Times New Roman" w:hAnsi="Times New Roman"/>
          <w:sz w:val="23"/>
          <w:szCs w:val="23"/>
        </w:rPr>
        <w:t>B</w:t>
      </w:r>
      <w:r w:rsidR="00965367" w:rsidRPr="00965367">
        <w:rPr>
          <w:rFonts w:ascii="Times New Roman" w:hAnsi="Times New Roman"/>
          <w:sz w:val="23"/>
          <w:szCs w:val="23"/>
        </w:rPr>
        <w:t>R</w:t>
      </w:r>
      <w:r w:rsidR="002F77C4" w:rsidRPr="00965367">
        <w:rPr>
          <w:rFonts w:ascii="Times New Roman" w:hAnsi="Times New Roman"/>
          <w:sz w:val="23"/>
          <w:szCs w:val="23"/>
        </w:rPr>
        <w:t>/.</w:t>
      </w:r>
    </w:p>
    <w:p w:rsidR="00630F40" w:rsidRDefault="00630F40" w:rsidP="00713485">
      <w:pPr>
        <w:pStyle w:val="BodyText"/>
        <w:jc w:val="both"/>
        <w:rPr>
          <w:sz w:val="23"/>
          <w:szCs w:val="23"/>
          <w:u w:val="single"/>
        </w:rPr>
      </w:pPr>
    </w:p>
    <w:p w:rsidR="00DD6E01" w:rsidRPr="00630F40" w:rsidRDefault="00DD6E01" w:rsidP="00713485">
      <w:pPr>
        <w:jc w:val="both"/>
        <w:rPr>
          <w:sz w:val="23"/>
          <w:szCs w:val="23"/>
        </w:rPr>
      </w:pPr>
      <w:r w:rsidRPr="00630F40">
        <w:rPr>
          <w:sz w:val="23"/>
          <w:szCs w:val="23"/>
          <w:u w:val="single"/>
        </w:rPr>
        <w:t>FOOTNOTE A</w:t>
      </w:r>
      <w:r w:rsidR="00771562" w:rsidRPr="00630F40">
        <w:rPr>
          <w:sz w:val="23"/>
          <w:szCs w:val="23"/>
          <w:u w:val="single"/>
        </w:rPr>
        <w:t>G</w:t>
      </w:r>
      <w:r w:rsidRPr="00630F40">
        <w:rPr>
          <w:sz w:val="23"/>
          <w:szCs w:val="23"/>
          <w:u w:val="single"/>
        </w:rPr>
        <w:t>/</w:t>
      </w:r>
      <w:r w:rsidRPr="00630F40">
        <w:rPr>
          <w:sz w:val="23"/>
          <w:szCs w:val="23"/>
        </w:rPr>
        <w:tab/>
      </w:r>
      <w:r w:rsidRPr="00630F40">
        <w:rPr>
          <w:sz w:val="23"/>
          <w:szCs w:val="23"/>
          <w:u w:val="single"/>
        </w:rPr>
        <w:t xml:space="preserve">$ </w:t>
      </w:r>
      <w:r w:rsidR="0031138D" w:rsidRPr="00630F40">
        <w:rPr>
          <w:sz w:val="23"/>
          <w:szCs w:val="23"/>
          <w:u w:val="single"/>
        </w:rPr>
        <w:t>(</w:t>
      </w:r>
      <w:r w:rsidR="00717A46" w:rsidRPr="00630F40">
        <w:rPr>
          <w:sz w:val="23"/>
          <w:szCs w:val="23"/>
          <w:u w:val="single"/>
        </w:rPr>
        <w:t>3,164</w:t>
      </w:r>
      <w:r w:rsidR="0031138D" w:rsidRPr="00630F40">
        <w:rPr>
          <w:sz w:val="23"/>
          <w:szCs w:val="23"/>
          <w:u w:val="single"/>
        </w:rPr>
        <w:t>)</w:t>
      </w:r>
      <w:r w:rsidR="00F84D56" w:rsidRPr="00630F40">
        <w:rPr>
          <w:sz w:val="23"/>
          <w:szCs w:val="23"/>
        </w:rPr>
        <w:tab/>
      </w:r>
      <w:r w:rsidR="0031138D" w:rsidRPr="00630F40">
        <w:rPr>
          <w:sz w:val="23"/>
          <w:szCs w:val="23"/>
        </w:rPr>
        <w:t xml:space="preserve">Electric </w:t>
      </w:r>
      <w:r w:rsidRPr="00630F40">
        <w:rPr>
          <w:sz w:val="23"/>
          <w:szCs w:val="23"/>
        </w:rPr>
        <w:t xml:space="preserve">Plant Held for Future Use </w:t>
      </w:r>
    </w:p>
    <w:p w:rsidR="00DD6E01" w:rsidRPr="00E651D1" w:rsidRDefault="00DD6E01" w:rsidP="00713485">
      <w:pPr>
        <w:jc w:val="both"/>
        <w:rPr>
          <w:sz w:val="23"/>
          <w:szCs w:val="23"/>
        </w:rPr>
      </w:pPr>
    </w:p>
    <w:p w:rsidR="007E5675" w:rsidRDefault="00BE08C4" w:rsidP="00713485">
      <w:pPr>
        <w:pStyle w:val="BodyText"/>
        <w:jc w:val="both"/>
        <w:rPr>
          <w:sz w:val="23"/>
          <w:szCs w:val="23"/>
          <w:u w:val="single"/>
        </w:rPr>
      </w:pPr>
      <w:r>
        <w:rPr>
          <w:rFonts w:ascii="Times New Roman" w:hAnsi="Times New Roman"/>
          <w:sz w:val="23"/>
          <w:szCs w:val="23"/>
        </w:rPr>
        <w:t xml:space="preserve">The decrease is primarily due to the commencement of construction on a future substation resulting in land associated with the project </w:t>
      </w:r>
      <w:r w:rsidR="0089221E">
        <w:rPr>
          <w:rFonts w:ascii="Times New Roman" w:hAnsi="Times New Roman"/>
          <w:sz w:val="23"/>
          <w:szCs w:val="23"/>
        </w:rPr>
        <w:t>transferring</w:t>
      </w:r>
      <w:r>
        <w:rPr>
          <w:rFonts w:ascii="Times New Roman" w:hAnsi="Times New Roman"/>
          <w:sz w:val="23"/>
          <w:szCs w:val="23"/>
        </w:rPr>
        <w:t xml:space="preserve"> to CWIP.  Additional details for electric plant held for future use are provided in MFR A-5.  </w:t>
      </w:r>
    </w:p>
    <w:p w:rsidR="00962F77" w:rsidRPr="00E651D1" w:rsidRDefault="003A563C" w:rsidP="00713485">
      <w:pPr>
        <w:ind w:left="2160" w:hanging="2160"/>
        <w:jc w:val="both"/>
        <w:rPr>
          <w:sz w:val="23"/>
          <w:szCs w:val="23"/>
        </w:rPr>
      </w:pPr>
      <w:r w:rsidRPr="00C24502">
        <w:rPr>
          <w:sz w:val="23"/>
          <w:szCs w:val="23"/>
          <w:u w:val="single"/>
        </w:rPr>
        <w:lastRenderedPageBreak/>
        <w:t xml:space="preserve">FOOTNOTE </w:t>
      </w:r>
      <w:r w:rsidR="00962F77" w:rsidRPr="00C24502">
        <w:rPr>
          <w:sz w:val="23"/>
          <w:szCs w:val="23"/>
          <w:u w:val="single"/>
        </w:rPr>
        <w:t>A</w:t>
      </w:r>
      <w:r w:rsidR="00771562" w:rsidRPr="00C24502">
        <w:rPr>
          <w:sz w:val="23"/>
          <w:szCs w:val="23"/>
          <w:u w:val="single"/>
        </w:rPr>
        <w:t>H</w:t>
      </w:r>
      <w:r w:rsidRPr="00C24502">
        <w:rPr>
          <w:sz w:val="23"/>
          <w:szCs w:val="23"/>
          <w:u w:val="single"/>
        </w:rPr>
        <w:t>/</w:t>
      </w:r>
      <w:r w:rsidRPr="00C24502">
        <w:rPr>
          <w:sz w:val="23"/>
          <w:szCs w:val="23"/>
        </w:rPr>
        <w:tab/>
      </w:r>
      <w:r w:rsidRPr="00C24502">
        <w:rPr>
          <w:sz w:val="23"/>
          <w:szCs w:val="23"/>
          <w:u w:val="single"/>
        </w:rPr>
        <w:t xml:space="preserve">$ </w:t>
      </w:r>
      <w:r w:rsidR="002109C8" w:rsidRPr="00C24502">
        <w:rPr>
          <w:sz w:val="23"/>
          <w:szCs w:val="23"/>
          <w:u w:val="single"/>
        </w:rPr>
        <w:t>403,993</w:t>
      </w:r>
      <w:r w:rsidR="00A04727" w:rsidRPr="00C24502">
        <w:rPr>
          <w:sz w:val="23"/>
          <w:szCs w:val="23"/>
        </w:rPr>
        <w:tab/>
      </w:r>
      <w:r w:rsidRPr="00C24502">
        <w:rPr>
          <w:sz w:val="23"/>
          <w:szCs w:val="23"/>
        </w:rPr>
        <w:t>Accum</w:t>
      </w:r>
      <w:r w:rsidR="00962F77" w:rsidRPr="00C24502">
        <w:rPr>
          <w:sz w:val="23"/>
          <w:szCs w:val="23"/>
        </w:rPr>
        <w:t>.</w:t>
      </w:r>
      <w:r w:rsidRPr="00C24502">
        <w:rPr>
          <w:sz w:val="23"/>
          <w:szCs w:val="23"/>
        </w:rPr>
        <w:t xml:space="preserve"> Provision for Deprec</w:t>
      </w:r>
      <w:r w:rsidR="00962F77" w:rsidRPr="00C24502">
        <w:rPr>
          <w:sz w:val="23"/>
          <w:szCs w:val="23"/>
        </w:rPr>
        <w:t>.</w:t>
      </w:r>
      <w:r w:rsidRPr="00C24502">
        <w:rPr>
          <w:sz w:val="23"/>
          <w:szCs w:val="23"/>
        </w:rPr>
        <w:t xml:space="preserve"> </w:t>
      </w:r>
      <w:r w:rsidR="00962F77" w:rsidRPr="00C24502">
        <w:rPr>
          <w:sz w:val="23"/>
          <w:szCs w:val="23"/>
        </w:rPr>
        <w:t>&amp; Amort.</w:t>
      </w:r>
      <w:r w:rsidR="00BE08C4" w:rsidRPr="00C24502">
        <w:rPr>
          <w:sz w:val="23"/>
          <w:szCs w:val="23"/>
        </w:rPr>
        <w:t xml:space="preserve"> </w:t>
      </w:r>
    </w:p>
    <w:p w:rsidR="00D06221" w:rsidRPr="002F19F1" w:rsidRDefault="00D06221" w:rsidP="00713485">
      <w:pPr>
        <w:jc w:val="both"/>
        <w:rPr>
          <w:sz w:val="23"/>
          <w:szCs w:val="23"/>
          <w:highlight w:val="green"/>
        </w:rPr>
      </w:pPr>
    </w:p>
    <w:p w:rsidR="000B1F75" w:rsidRPr="00BE08C4" w:rsidRDefault="00C24502" w:rsidP="00713485">
      <w:pPr>
        <w:pStyle w:val="BodyText"/>
        <w:tabs>
          <w:tab w:val="decimal" w:pos="4680"/>
          <w:tab w:val="decimal" w:pos="5850"/>
        </w:tabs>
        <w:jc w:val="both"/>
        <w:rPr>
          <w:rFonts w:ascii="Times New Roman" w:hAnsi="Times New Roman"/>
          <w:color w:val="FF0000"/>
          <w:sz w:val="23"/>
          <w:szCs w:val="23"/>
        </w:rPr>
      </w:pPr>
      <w:r>
        <w:rPr>
          <w:rFonts w:ascii="Times New Roman" w:hAnsi="Times New Roman"/>
          <w:sz w:val="23"/>
          <w:szCs w:val="23"/>
        </w:rPr>
        <w:t>The increase is due to normal depreciation and removal costs</w:t>
      </w:r>
      <w:r w:rsidR="00E03CA7">
        <w:rPr>
          <w:rFonts w:ascii="Times New Roman" w:hAnsi="Times New Roman"/>
          <w:sz w:val="23"/>
          <w:szCs w:val="23"/>
        </w:rPr>
        <w:t xml:space="preserve"> and incorporation of new depreciation rates from the 2017 depreciation study</w:t>
      </w:r>
      <w:r>
        <w:rPr>
          <w:rFonts w:ascii="Times New Roman" w:hAnsi="Times New Roman"/>
          <w:sz w:val="23"/>
          <w:szCs w:val="23"/>
        </w:rPr>
        <w:t xml:space="preserve">, partially offset by proposed plant retirements </w:t>
      </w:r>
      <w:r w:rsidR="00E03CA7">
        <w:rPr>
          <w:rFonts w:ascii="Times New Roman" w:hAnsi="Times New Roman"/>
          <w:sz w:val="23"/>
          <w:szCs w:val="23"/>
        </w:rPr>
        <w:t>of</w:t>
      </w:r>
      <w:r>
        <w:rPr>
          <w:rFonts w:ascii="Times New Roman" w:hAnsi="Times New Roman"/>
          <w:sz w:val="23"/>
          <w:szCs w:val="23"/>
        </w:rPr>
        <w:t xml:space="preserve"> Plant</w:t>
      </w:r>
      <w:r w:rsidR="00E03CA7">
        <w:rPr>
          <w:rFonts w:ascii="Times New Roman" w:hAnsi="Times New Roman"/>
          <w:sz w:val="23"/>
          <w:szCs w:val="23"/>
        </w:rPr>
        <w:t>s</w:t>
      </w:r>
      <w:r>
        <w:rPr>
          <w:rFonts w:ascii="Times New Roman" w:hAnsi="Times New Roman"/>
          <w:sz w:val="23"/>
          <w:szCs w:val="23"/>
        </w:rPr>
        <w:t xml:space="preserve"> Hammond Units 1-4</w:t>
      </w:r>
      <w:r w:rsidR="00E03CA7">
        <w:rPr>
          <w:rFonts w:ascii="Times New Roman" w:hAnsi="Times New Roman"/>
          <w:sz w:val="23"/>
          <w:szCs w:val="23"/>
        </w:rPr>
        <w:t>, McIntosh Unit 1, and hydro units</w:t>
      </w:r>
      <w:r>
        <w:rPr>
          <w:rFonts w:ascii="Times New Roman" w:hAnsi="Times New Roman"/>
          <w:sz w:val="23"/>
          <w:szCs w:val="23"/>
        </w:rPr>
        <w:t xml:space="preserve">.  Functional breakdown of the increase is as follows: </w:t>
      </w:r>
    </w:p>
    <w:p w:rsidR="007E5675" w:rsidRPr="00E651D1" w:rsidRDefault="007E5675" w:rsidP="00713485">
      <w:pPr>
        <w:pStyle w:val="BodyText"/>
        <w:tabs>
          <w:tab w:val="decimal" w:pos="4680"/>
          <w:tab w:val="decimal" w:pos="5850"/>
        </w:tabs>
        <w:jc w:val="both"/>
        <w:rPr>
          <w:rFonts w:ascii="Times New Roman" w:hAnsi="Times New Roman"/>
          <w:sz w:val="23"/>
          <w:szCs w:val="23"/>
        </w:rPr>
      </w:pPr>
    </w:p>
    <w:p w:rsidR="00986E49" w:rsidRPr="00E651D1" w:rsidRDefault="00174021" w:rsidP="00713485">
      <w:pPr>
        <w:jc w:val="center"/>
        <w:rPr>
          <w:sz w:val="23"/>
          <w:szCs w:val="23"/>
          <w:u w:val="single"/>
        </w:rPr>
      </w:pPr>
      <w:r w:rsidRPr="00174021">
        <w:rPr>
          <w:noProof/>
        </w:rPr>
        <w:drawing>
          <wp:inline distT="0" distB="0" distL="0" distR="0">
            <wp:extent cx="4968240" cy="183642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8240" cy="1836420"/>
                    </a:xfrm>
                    <a:prstGeom prst="rect">
                      <a:avLst/>
                    </a:prstGeom>
                    <a:noFill/>
                    <a:ln>
                      <a:noFill/>
                    </a:ln>
                  </pic:spPr>
                </pic:pic>
              </a:graphicData>
            </a:graphic>
          </wp:inline>
        </w:drawing>
      </w:r>
    </w:p>
    <w:p w:rsidR="00722583" w:rsidRPr="00E651D1" w:rsidRDefault="00722583" w:rsidP="00713485">
      <w:pPr>
        <w:jc w:val="both"/>
        <w:rPr>
          <w:sz w:val="23"/>
          <w:szCs w:val="23"/>
          <w:u w:val="single"/>
        </w:rPr>
      </w:pPr>
    </w:p>
    <w:p w:rsidR="003A563C" w:rsidRPr="00E651D1" w:rsidRDefault="003A563C" w:rsidP="00713485">
      <w:pPr>
        <w:jc w:val="both"/>
        <w:rPr>
          <w:sz w:val="23"/>
          <w:szCs w:val="23"/>
        </w:rPr>
      </w:pPr>
      <w:r w:rsidRPr="00E651D1">
        <w:rPr>
          <w:sz w:val="23"/>
          <w:szCs w:val="23"/>
          <w:u w:val="single"/>
        </w:rPr>
        <w:t xml:space="preserve">FOOTNOTE </w:t>
      </w:r>
      <w:r w:rsidR="001A0CBA" w:rsidRPr="00E651D1">
        <w:rPr>
          <w:sz w:val="23"/>
          <w:szCs w:val="23"/>
          <w:u w:val="single"/>
        </w:rPr>
        <w:t>A</w:t>
      </w:r>
      <w:r w:rsidR="00771562" w:rsidRPr="00E651D1">
        <w:rPr>
          <w:sz w:val="23"/>
          <w:szCs w:val="23"/>
          <w:u w:val="single"/>
        </w:rPr>
        <w:t>I</w:t>
      </w:r>
      <w:r w:rsidRPr="00E651D1">
        <w:rPr>
          <w:sz w:val="23"/>
          <w:szCs w:val="23"/>
          <w:u w:val="single"/>
        </w:rPr>
        <w:t>/</w:t>
      </w:r>
      <w:r w:rsidR="00031718" w:rsidRPr="00E651D1">
        <w:rPr>
          <w:sz w:val="23"/>
          <w:szCs w:val="23"/>
        </w:rPr>
        <w:tab/>
      </w:r>
      <w:r w:rsidRPr="00E651D1">
        <w:rPr>
          <w:sz w:val="23"/>
          <w:szCs w:val="23"/>
          <w:u w:val="single"/>
        </w:rPr>
        <w:t xml:space="preserve">$ </w:t>
      </w:r>
      <w:r w:rsidR="00717A46" w:rsidRPr="00E651D1">
        <w:rPr>
          <w:sz w:val="23"/>
          <w:szCs w:val="23"/>
          <w:u w:val="single"/>
        </w:rPr>
        <w:t>5,476</w:t>
      </w:r>
      <w:r w:rsidR="00717A46" w:rsidRPr="00E651D1">
        <w:rPr>
          <w:sz w:val="23"/>
          <w:szCs w:val="23"/>
          <w:u w:val="single"/>
        </w:rPr>
        <w:tab/>
      </w:r>
      <w:r w:rsidRPr="00E651D1">
        <w:rPr>
          <w:sz w:val="23"/>
          <w:szCs w:val="23"/>
        </w:rPr>
        <w:tab/>
        <w:t>Accum</w:t>
      </w:r>
      <w:r w:rsidR="001A0CBA" w:rsidRPr="00E651D1">
        <w:rPr>
          <w:sz w:val="23"/>
          <w:szCs w:val="23"/>
        </w:rPr>
        <w:t>.</w:t>
      </w:r>
      <w:r w:rsidRPr="00E651D1">
        <w:rPr>
          <w:sz w:val="23"/>
          <w:szCs w:val="23"/>
        </w:rPr>
        <w:t xml:space="preserve"> Provision, Nuclear Fuel </w:t>
      </w:r>
      <w:r w:rsidR="001A0CBA" w:rsidRPr="00E651D1">
        <w:rPr>
          <w:sz w:val="23"/>
          <w:szCs w:val="23"/>
        </w:rPr>
        <w:t>Amort.</w:t>
      </w:r>
    </w:p>
    <w:p w:rsidR="00D06221" w:rsidRPr="00E651D1" w:rsidRDefault="00D06221" w:rsidP="00713485">
      <w:pPr>
        <w:jc w:val="both"/>
        <w:rPr>
          <w:sz w:val="23"/>
          <w:szCs w:val="23"/>
        </w:rPr>
      </w:pPr>
    </w:p>
    <w:p w:rsidR="003A563C" w:rsidRPr="00E651D1" w:rsidRDefault="003A563C" w:rsidP="00713485">
      <w:pPr>
        <w:jc w:val="both"/>
        <w:rPr>
          <w:sz w:val="23"/>
          <w:szCs w:val="23"/>
        </w:rPr>
      </w:pPr>
      <w:r w:rsidRPr="00E651D1">
        <w:rPr>
          <w:sz w:val="23"/>
          <w:szCs w:val="23"/>
        </w:rPr>
        <w:t>Th</w:t>
      </w:r>
      <w:r w:rsidR="00174021">
        <w:rPr>
          <w:sz w:val="23"/>
          <w:szCs w:val="23"/>
        </w:rPr>
        <w:t>e</w:t>
      </w:r>
      <w:r w:rsidRPr="00E651D1">
        <w:rPr>
          <w:sz w:val="23"/>
          <w:szCs w:val="23"/>
        </w:rPr>
        <w:t xml:space="preserve"> </w:t>
      </w:r>
      <w:r w:rsidR="0068343A" w:rsidRPr="00E651D1">
        <w:rPr>
          <w:sz w:val="23"/>
          <w:szCs w:val="23"/>
        </w:rPr>
        <w:t>in</w:t>
      </w:r>
      <w:r w:rsidRPr="00E651D1">
        <w:rPr>
          <w:sz w:val="23"/>
          <w:szCs w:val="23"/>
        </w:rPr>
        <w:t>crease is a result of normal</w:t>
      </w:r>
      <w:r w:rsidR="00271285" w:rsidRPr="00E651D1">
        <w:rPr>
          <w:sz w:val="23"/>
          <w:szCs w:val="23"/>
        </w:rPr>
        <w:t xml:space="preserve"> </w:t>
      </w:r>
      <w:r w:rsidR="003D6FF4" w:rsidRPr="00E651D1">
        <w:rPr>
          <w:sz w:val="23"/>
          <w:szCs w:val="23"/>
        </w:rPr>
        <w:t>amortization</w:t>
      </w:r>
      <w:r w:rsidR="00174021">
        <w:rPr>
          <w:sz w:val="23"/>
          <w:szCs w:val="23"/>
        </w:rPr>
        <w:t xml:space="preserve"> of nuclear fuel</w:t>
      </w:r>
      <w:r w:rsidR="003D6FF4" w:rsidRPr="00E651D1">
        <w:rPr>
          <w:sz w:val="23"/>
          <w:szCs w:val="23"/>
        </w:rPr>
        <w:t>, which is recovered through</w:t>
      </w:r>
      <w:r w:rsidR="00174021">
        <w:rPr>
          <w:sz w:val="23"/>
          <w:szCs w:val="23"/>
        </w:rPr>
        <w:t xml:space="preserve"> </w:t>
      </w:r>
      <w:r w:rsidR="003D6FF4" w:rsidRPr="00E651D1">
        <w:rPr>
          <w:sz w:val="23"/>
          <w:szCs w:val="23"/>
        </w:rPr>
        <w:t>fuel rates.</w:t>
      </w:r>
    </w:p>
    <w:p w:rsidR="00DE660E" w:rsidRPr="00E651D1" w:rsidRDefault="00DE660E" w:rsidP="00713485">
      <w:pPr>
        <w:jc w:val="both"/>
        <w:rPr>
          <w:sz w:val="23"/>
          <w:szCs w:val="23"/>
        </w:rPr>
      </w:pPr>
    </w:p>
    <w:p w:rsidR="003A563C" w:rsidRPr="00E651D1" w:rsidRDefault="003A563C" w:rsidP="00713485">
      <w:pPr>
        <w:jc w:val="both"/>
        <w:rPr>
          <w:sz w:val="23"/>
          <w:szCs w:val="23"/>
        </w:rPr>
      </w:pPr>
      <w:r w:rsidRPr="00E651D1">
        <w:rPr>
          <w:sz w:val="23"/>
          <w:szCs w:val="23"/>
          <w:u w:val="single"/>
        </w:rPr>
        <w:t xml:space="preserve">FOOTNOTE </w:t>
      </w:r>
      <w:r w:rsidR="001A0CBA" w:rsidRPr="00E651D1">
        <w:rPr>
          <w:sz w:val="23"/>
          <w:szCs w:val="23"/>
          <w:u w:val="single"/>
        </w:rPr>
        <w:t>A</w:t>
      </w:r>
      <w:r w:rsidR="00771562" w:rsidRPr="00E651D1">
        <w:rPr>
          <w:sz w:val="23"/>
          <w:szCs w:val="23"/>
          <w:u w:val="single"/>
        </w:rPr>
        <w:t>J</w:t>
      </w:r>
      <w:r w:rsidRPr="00E651D1">
        <w:rPr>
          <w:sz w:val="23"/>
          <w:szCs w:val="23"/>
        </w:rPr>
        <w:t>/</w:t>
      </w:r>
      <w:r w:rsidRPr="00E651D1">
        <w:rPr>
          <w:sz w:val="23"/>
          <w:szCs w:val="23"/>
        </w:rPr>
        <w:tab/>
      </w:r>
      <w:r w:rsidRPr="00E651D1">
        <w:rPr>
          <w:sz w:val="23"/>
          <w:szCs w:val="23"/>
          <w:u w:val="single"/>
        </w:rPr>
        <w:t xml:space="preserve">$ </w:t>
      </w:r>
      <w:r w:rsidR="001A0CBA" w:rsidRPr="00E651D1">
        <w:rPr>
          <w:sz w:val="23"/>
          <w:szCs w:val="23"/>
          <w:u w:val="single"/>
        </w:rPr>
        <w:t>(</w:t>
      </w:r>
      <w:r w:rsidR="002109C8" w:rsidRPr="00E651D1">
        <w:rPr>
          <w:sz w:val="23"/>
          <w:szCs w:val="23"/>
          <w:u w:val="single"/>
        </w:rPr>
        <w:t>36,605</w:t>
      </w:r>
      <w:r w:rsidR="001A0CBA" w:rsidRPr="00E651D1">
        <w:rPr>
          <w:sz w:val="23"/>
          <w:szCs w:val="23"/>
          <w:u w:val="single"/>
        </w:rPr>
        <w:t>)</w:t>
      </w:r>
      <w:r w:rsidRPr="00E651D1">
        <w:rPr>
          <w:sz w:val="23"/>
          <w:szCs w:val="23"/>
        </w:rPr>
        <w:tab/>
        <w:t>Fuel and Materials &amp; Supplies Inventory</w:t>
      </w:r>
      <w:r w:rsidR="00174021">
        <w:rPr>
          <w:sz w:val="23"/>
          <w:szCs w:val="23"/>
        </w:rPr>
        <w:t xml:space="preserve"> </w:t>
      </w:r>
    </w:p>
    <w:p w:rsidR="003A563C" w:rsidRPr="00E651D1" w:rsidRDefault="003A563C" w:rsidP="00713485">
      <w:pPr>
        <w:jc w:val="both"/>
        <w:rPr>
          <w:sz w:val="23"/>
          <w:szCs w:val="23"/>
        </w:rPr>
      </w:pPr>
    </w:p>
    <w:p w:rsidR="003A563C" w:rsidRPr="00E651D1" w:rsidRDefault="003A563C" w:rsidP="00713485">
      <w:pPr>
        <w:jc w:val="both"/>
        <w:rPr>
          <w:sz w:val="23"/>
          <w:szCs w:val="23"/>
        </w:rPr>
      </w:pPr>
      <w:r w:rsidRPr="00E651D1">
        <w:rPr>
          <w:sz w:val="23"/>
          <w:szCs w:val="23"/>
        </w:rPr>
        <w:t xml:space="preserve">The following is </w:t>
      </w:r>
      <w:r w:rsidR="00174021">
        <w:rPr>
          <w:sz w:val="23"/>
          <w:szCs w:val="23"/>
        </w:rPr>
        <w:t xml:space="preserve">a further breakdown of the change </w:t>
      </w:r>
      <w:r w:rsidRPr="00E651D1">
        <w:rPr>
          <w:sz w:val="23"/>
          <w:szCs w:val="23"/>
        </w:rPr>
        <w:t>in Fuel and Materials &amp; Supplies Inventory:</w:t>
      </w:r>
    </w:p>
    <w:p w:rsidR="000B1F75" w:rsidRPr="00E651D1" w:rsidRDefault="000B1F75" w:rsidP="00713485">
      <w:pPr>
        <w:jc w:val="both"/>
        <w:rPr>
          <w:sz w:val="23"/>
          <w:szCs w:val="23"/>
        </w:rPr>
      </w:pPr>
    </w:p>
    <w:p w:rsidR="001A0CBA" w:rsidRPr="00E651D1" w:rsidRDefault="00314200" w:rsidP="00713485">
      <w:pPr>
        <w:jc w:val="center"/>
        <w:rPr>
          <w:sz w:val="23"/>
          <w:szCs w:val="23"/>
        </w:rPr>
      </w:pPr>
      <w:r w:rsidRPr="00314200">
        <w:rPr>
          <w:noProof/>
        </w:rPr>
        <w:drawing>
          <wp:inline distT="0" distB="0" distL="0" distR="0">
            <wp:extent cx="5486400" cy="14167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416765"/>
                    </a:xfrm>
                    <a:prstGeom prst="rect">
                      <a:avLst/>
                    </a:prstGeom>
                    <a:noFill/>
                    <a:ln>
                      <a:noFill/>
                    </a:ln>
                  </pic:spPr>
                </pic:pic>
              </a:graphicData>
            </a:graphic>
          </wp:inline>
        </w:drawing>
      </w:r>
    </w:p>
    <w:p w:rsidR="001E413E" w:rsidRPr="00E651D1" w:rsidRDefault="001E413E" w:rsidP="00713485">
      <w:pPr>
        <w:jc w:val="both"/>
        <w:rPr>
          <w:sz w:val="23"/>
          <w:szCs w:val="23"/>
        </w:rPr>
      </w:pPr>
    </w:p>
    <w:p w:rsidR="003333F8" w:rsidRPr="00EC0BB5" w:rsidRDefault="008B68EE" w:rsidP="00713485">
      <w:pPr>
        <w:pStyle w:val="BodyText"/>
        <w:jc w:val="both"/>
        <w:rPr>
          <w:rFonts w:ascii="Times New Roman" w:hAnsi="Times New Roman"/>
          <w:sz w:val="23"/>
          <w:szCs w:val="23"/>
        </w:rPr>
      </w:pPr>
      <w:r>
        <w:rPr>
          <w:rFonts w:ascii="Times New Roman" w:hAnsi="Times New Roman"/>
          <w:sz w:val="23"/>
          <w:szCs w:val="23"/>
        </w:rPr>
        <w:t>The decrease in fuel inventory is primarily driven by a lower than anticipated coal</w:t>
      </w:r>
      <w:r w:rsidR="004A45CF">
        <w:rPr>
          <w:rFonts w:ascii="Times New Roman" w:hAnsi="Times New Roman"/>
          <w:sz w:val="23"/>
          <w:szCs w:val="23"/>
        </w:rPr>
        <w:t xml:space="preserve"> inventory</w:t>
      </w:r>
      <w:r>
        <w:rPr>
          <w:rFonts w:ascii="Times New Roman" w:hAnsi="Times New Roman"/>
          <w:sz w:val="23"/>
          <w:szCs w:val="23"/>
        </w:rPr>
        <w:t xml:space="preserve"> balance at the end of December 2018 </w:t>
      </w:r>
      <w:r w:rsidR="004A45CF">
        <w:rPr>
          <w:rFonts w:ascii="Times New Roman" w:hAnsi="Times New Roman"/>
          <w:sz w:val="23"/>
          <w:szCs w:val="23"/>
        </w:rPr>
        <w:t>which</w:t>
      </w:r>
      <w:r>
        <w:rPr>
          <w:rFonts w:ascii="Times New Roman" w:hAnsi="Times New Roman"/>
          <w:sz w:val="23"/>
          <w:szCs w:val="23"/>
        </w:rPr>
        <w:t xml:space="preserve"> impacted projections for the rate case period</w:t>
      </w:r>
      <w:r w:rsidR="004A45CF">
        <w:rPr>
          <w:rFonts w:ascii="Times New Roman" w:hAnsi="Times New Roman"/>
          <w:sz w:val="23"/>
          <w:szCs w:val="23"/>
        </w:rPr>
        <w:t xml:space="preserve"> and</w:t>
      </w:r>
      <w:r>
        <w:rPr>
          <w:rFonts w:ascii="Times New Roman" w:hAnsi="Times New Roman"/>
          <w:sz w:val="23"/>
          <w:szCs w:val="23"/>
        </w:rPr>
        <w:t xml:space="preserve"> the projected impacts of the pending decertification of Plants Hammond</w:t>
      </w:r>
      <w:r w:rsidR="004E235F">
        <w:rPr>
          <w:rFonts w:ascii="Times New Roman" w:hAnsi="Times New Roman"/>
          <w:sz w:val="23"/>
          <w:szCs w:val="23"/>
        </w:rPr>
        <w:t xml:space="preserve"> Units 1-4</w:t>
      </w:r>
      <w:r>
        <w:rPr>
          <w:rFonts w:ascii="Times New Roman" w:hAnsi="Times New Roman"/>
          <w:sz w:val="23"/>
          <w:szCs w:val="23"/>
        </w:rPr>
        <w:t xml:space="preserve"> and McIntosh</w:t>
      </w:r>
      <w:r w:rsidR="004E235F">
        <w:rPr>
          <w:rFonts w:ascii="Times New Roman" w:hAnsi="Times New Roman"/>
          <w:sz w:val="23"/>
          <w:szCs w:val="23"/>
        </w:rPr>
        <w:t xml:space="preserve"> Unit 1</w:t>
      </w:r>
      <w:r>
        <w:rPr>
          <w:rFonts w:ascii="Times New Roman" w:hAnsi="Times New Roman"/>
          <w:sz w:val="23"/>
          <w:szCs w:val="23"/>
        </w:rPr>
        <w:t>.</w:t>
      </w:r>
      <w:r w:rsidR="00ED4FC9" w:rsidRPr="00E651D1">
        <w:rPr>
          <w:rFonts w:ascii="Times New Roman" w:hAnsi="Times New Roman"/>
          <w:sz w:val="23"/>
          <w:szCs w:val="23"/>
        </w:rPr>
        <w:t xml:space="preserve">  </w:t>
      </w:r>
      <w:r w:rsidR="003A6FA8" w:rsidRPr="00E651D1">
        <w:rPr>
          <w:rFonts w:ascii="Times New Roman" w:hAnsi="Times New Roman"/>
          <w:sz w:val="23"/>
          <w:szCs w:val="23"/>
        </w:rPr>
        <w:t>The increase in materials and supplies inventory is primarily du</w:t>
      </w:r>
      <w:r w:rsidR="00D82822">
        <w:rPr>
          <w:rFonts w:ascii="Times New Roman" w:hAnsi="Times New Roman"/>
          <w:sz w:val="23"/>
          <w:szCs w:val="23"/>
        </w:rPr>
        <w:t>e to the build up of spare parts inventory for P</w:t>
      </w:r>
      <w:r w:rsidR="009A1EA9">
        <w:rPr>
          <w:rFonts w:ascii="Times New Roman" w:hAnsi="Times New Roman"/>
          <w:sz w:val="23"/>
          <w:szCs w:val="23"/>
        </w:rPr>
        <w:t>lant Vogtle Units 3 and 4</w:t>
      </w:r>
      <w:r w:rsidR="004A45CF">
        <w:rPr>
          <w:rFonts w:ascii="Times New Roman" w:hAnsi="Times New Roman"/>
          <w:sz w:val="23"/>
          <w:szCs w:val="23"/>
        </w:rPr>
        <w:t>, which is excluded from retail rate base in this filing as shown in F</w:t>
      </w:r>
      <w:r w:rsidR="002724BA">
        <w:rPr>
          <w:rFonts w:ascii="Times New Roman" w:hAnsi="Times New Roman"/>
          <w:sz w:val="23"/>
          <w:szCs w:val="23"/>
        </w:rPr>
        <w:t>OOTNOTE</w:t>
      </w:r>
      <w:r w:rsidR="004A45CF">
        <w:rPr>
          <w:rFonts w:ascii="Times New Roman" w:hAnsi="Times New Roman"/>
          <w:sz w:val="23"/>
          <w:szCs w:val="23"/>
        </w:rPr>
        <w:t xml:space="preserve"> BT/</w:t>
      </w:r>
      <w:r w:rsidR="009A1EA9">
        <w:rPr>
          <w:rFonts w:ascii="Times New Roman" w:hAnsi="Times New Roman"/>
          <w:sz w:val="23"/>
          <w:szCs w:val="23"/>
        </w:rPr>
        <w:t xml:space="preserve">.  </w:t>
      </w:r>
    </w:p>
    <w:p w:rsidR="00E651D1" w:rsidRDefault="00E651D1" w:rsidP="00713485">
      <w:pPr>
        <w:jc w:val="both"/>
        <w:rPr>
          <w:sz w:val="23"/>
          <w:szCs w:val="23"/>
          <w:u w:val="single"/>
        </w:rPr>
      </w:pPr>
    </w:p>
    <w:p w:rsidR="00630F40" w:rsidRDefault="00630F40" w:rsidP="00713485">
      <w:pPr>
        <w:jc w:val="both"/>
        <w:rPr>
          <w:sz w:val="23"/>
          <w:szCs w:val="23"/>
          <w:u w:val="single"/>
        </w:rPr>
      </w:pPr>
      <w:r>
        <w:rPr>
          <w:sz w:val="23"/>
          <w:szCs w:val="23"/>
          <w:u w:val="single"/>
        </w:rPr>
        <w:br w:type="page"/>
      </w:r>
    </w:p>
    <w:p w:rsidR="008736C6" w:rsidRPr="00E651D1" w:rsidRDefault="003A563C" w:rsidP="00713485">
      <w:pPr>
        <w:jc w:val="both"/>
        <w:rPr>
          <w:sz w:val="23"/>
          <w:szCs w:val="23"/>
        </w:rPr>
      </w:pPr>
      <w:r w:rsidRPr="00E651D1">
        <w:rPr>
          <w:sz w:val="23"/>
          <w:szCs w:val="23"/>
          <w:u w:val="single"/>
        </w:rPr>
        <w:lastRenderedPageBreak/>
        <w:t xml:space="preserve">FOOTNOTE </w:t>
      </w:r>
      <w:r w:rsidR="001469CF" w:rsidRPr="00E651D1">
        <w:rPr>
          <w:sz w:val="23"/>
          <w:szCs w:val="23"/>
          <w:u w:val="single"/>
        </w:rPr>
        <w:t>A</w:t>
      </w:r>
      <w:r w:rsidR="00771562" w:rsidRPr="00E651D1">
        <w:rPr>
          <w:sz w:val="23"/>
          <w:szCs w:val="23"/>
          <w:u w:val="single"/>
        </w:rPr>
        <w:t>K</w:t>
      </w:r>
      <w:r w:rsidR="002109C8" w:rsidRPr="00E651D1">
        <w:rPr>
          <w:sz w:val="23"/>
          <w:szCs w:val="23"/>
          <w:u w:val="single"/>
        </w:rPr>
        <w:t>/</w:t>
      </w:r>
      <w:r w:rsidRPr="00E651D1">
        <w:rPr>
          <w:sz w:val="23"/>
          <w:szCs w:val="23"/>
        </w:rPr>
        <w:t xml:space="preserve"> </w:t>
      </w:r>
      <w:r w:rsidR="00673C5B" w:rsidRPr="00E651D1">
        <w:rPr>
          <w:sz w:val="23"/>
          <w:szCs w:val="23"/>
        </w:rPr>
        <w:tab/>
      </w:r>
      <w:r w:rsidR="003077D0" w:rsidRPr="00E651D1">
        <w:rPr>
          <w:sz w:val="23"/>
          <w:szCs w:val="23"/>
          <w:u w:val="single"/>
        </w:rPr>
        <w:t>$ (</w:t>
      </w:r>
      <w:r w:rsidR="00717A46" w:rsidRPr="00E651D1">
        <w:rPr>
          <w:sz w:val="23"/>
          <w:szCs w:val="23"/>
          <w:u w:val="single"/>
        </w:rPr>
        <w:t>5</w:t>
      </w:r>
      <w:r w:rsidR="00673C5B" w:rsidRPr="00E651D1">
        <w:rPr>
          <w:sz w:val="23"/>
          <w:szCs w:val="23"/>
          <w:u w:val="single"/>
        </w:rPr>
        <w:t>1</w:t>
      </w:r>
      <w:r w:rsidR="003077D0" w:rsidRPr="00E651D1">
        <w:rPr>
          <w:sz w:val="23"/>
          <w:szCs w:val="23"/>
          <w:u w:val="single"/>
        </w:rPr>
        <w:t>)</w:t>
      </w:r>
      <w:r w:rsidRPr="00E651D1">
        <w:rPr>
          <w:sz w:val="23"/>
          <w:szCs w:val="23"/>
        </w:rPr>
        <w:t xml:space="preserve"> </w:t>
      </w:r>
      <w:r w:rsidRPr="00E651D1">
        <w:rPr>
          <w:sz w:val="23"/>
          <w:szCs w:val="23"/>
        </w:rPr>
        <w:tab/>
      </w:r>
      <w:r w:rsidR="001469CF" w:rsidRPr="00E651D1">
        <w:rPr>
          <w:sz w:val="23"/>
          <w:szCs w:val="23"/>
        </w:rPr>
        <w:tab/>
      </w:r>
      <w:r w:rsidRPr="00E651D1">
        <w:rPr>
          <w:sz w:val="23"/>
          <w:szCs w:val="23"/>
        </w:rPr>
        <w:t>Payables Associated with Capital M&amp;S</w:t>
      </w:r>
    </w:p>
    <w:p w:rsidR="008736C6" w:rsidRPr="00E651D1" w:rsidRDefault="008736C6" w:rsidP="00713485">
      <w:pPr>
        <w:jc w:val="both"/>
        <w:rPr>
          <w:sz w:val="23"/>
          <w:szCs w:val="23"/>
        </w:rPr>
      </w:pPr>
    </w:p>
    <w:p w:rsidR="00E35576" w:rsidRPr="007E5675" w:rsidRDefault="00E651D1" w:rsidP="00713485">
      <w:pPr>
        <w:jc w:val="both"/>
        <w:rPr>
          <w:sz w:val="23"/>
          <w:szCs w:val="23"/>
        </w:rPr>
      </w:pPr>
      <w:r w:rsidRPr="00E651D1">
        <w:rPr>
          <w:sz w:val="23"/>
          <w:szCs w:val="23"/>
        </w:rPr>
        <w:t>The increase is</w:t>
      </w:r>
      <w:r w:rsidR="008736C6" w:rsidRPr="00E651D1">
        <w:rPr>
          <w:sz w:val="23"/>
          <w:szCs w:val="23"/>
        </w:rPr>
        <w:t xml:space="preserve"> due to </w:t>
      </w:r>
      <w:r w:rsidRPr="00E651D1">
        <w:rPr>
          <w:sz w:val="23"/>
          <w:szCs w:val="23"/>
        </w:rPr>
        <w:t xml:space="preserve">an </w:t>
      </w:r>
      <w:r w:rsidR="00ED4FC9" w:rsidRPr="00E651D1">
        <w:rPr>
          <w:sz w:val="23"/>
          <w:szCs w:val="23"/>
        </w:rPr>
        <w:t>increase</w:t>
      </w:r>
      <w:r w:rsidR="008736C6" w:rsidRPr="00E651D1">
        <w:rPr>
          <w:sz w:val="23"/>
          <w:szCs w:val="23"/>
        </w:rPr>
        <w:t xml:space="preserve"> in materials and supplies</w:t>
      </w:r>
      <w:r w:rsidR="001469CF" w:rsidRPr="00E651D1">
        <w:rPr>
          <w:sz w:val="23"/>
          <w:szCs w:val="23"/>
        </w:rPr>
        <w:t xml:space="preserve"> inventories</w:t>
      </w:r>
      <w:r w:rsidR="00F14184" w:rsidRPr="00E651D1">
        <w:rPr>
          <w:sz w:val="23"/>
          <w:szCs w:val="23"/>
        </w:rPr>
        <w:t>.</w:t>
      </w:r>
      <w:r w:rsidR="003A563C" w:rsidRPr="00E651D1">
        <w:rPr>
          <w:sz w:val="23"/>
          <w:szCs w:val="23"/>
        </w:rPr>
        <w:tab/>
      </w:r>
    </w:p>
    <w:p w:rsidR="00174021" w:rsidRDefault="00174021" w:rsidP="00713485">
      <w:pPr>
        <w:jc w:val="both"/>
        <w:rPr>
          <w:sz w:val="23"/>
          <w:szCs w:val="23"/>
          <w:u w:val="single"/>
        </w:rPr>
      </w:pPr>
    </w:p>
    <w:p w:rsidR="003A563C" w:rsidRPr="007E5675" w:rsidRDefault="003A563C" w:rsidP="00713485">
      <w:pPr>
        <w:jc w:val="both"/>
        <w:rPr>
          <w:sz w:val="23"/>
          <w:szCs w:val="23"/>
        </w:rPr>
      </w:pPr>
      <w:r w:rsidRPr="007E5675">
        <w:rPr>
          <w:sz w:val="23"/>
          <w:szCs w:val="23"/>
          <w:u w:val="single"/>
        </w:rPr>
        <w:t xml:space="preserve">FOOTNOTE </w:t>
      </w:r>
      <w:r w:rsidR="001469CF" w:rsidRPr="007E5675">
        <w:rPr>
          <w:sz w:val="23"/>
          <w:szCs w:val="23"/>
          <w:u w:val="single"/>
        </w:rPr>
        <w:t>A</w:t>
      </w:r>
      <w:r w:rsidR="00771562" w:rsidRPr="007E5675">
        <w:rPr>
          <w:sz w:val="23"/>
          <w:szCs w:val="23"/>
          <w:u w:val="single"/>
        </w:rPr>
        <w:t>L</w:t>
      </w:r>
      <w:r w:rsidR="002109C8" w:rsidRPr="007E5675">
        <w:rPr>
          <w:sz w:val="23"/>
          <w:szCs w:val="23"/>
          <w:u w:val="single"/>
        </w:rPr>
        <w:t>/</w:t>
      </w:r>
      <w:r w:rsidR="00673C5B" w:rsidRPr="007E5675">
        <w:rPr>
          <w:sz w:val="23"/>
          <w:szCs w:val="23"/>
        </w:rPr>
        <w:tab/>
      </w:r>
      <w:r w:rsidRPr="007E5675">
        <w:rPr>
          <w:sz w:val="23"/>
          <w:szCs w:val="23"/>
        </w:rPr>
        <w:t xml:space="preserve"> </w:t>
      </w:r>
      <w:r w:rsidR="003077D0" w:rsidRPr="007E5675">
        <w:rPr>
          <w:sz w:val="23"/>
          <w:szCs w:val="23"/>
          <w:u w:val="single"/>
        </w:rPr>
        <w:t xml:space="preserve">$ </w:t>
      </w:r>
      <w:r w:rsidR="00717A46" w:rsidRPr="007E5675">
        <w:rPr>
          <w:sz w:val="23"/>
          <w:szCs w:val="23"/>
          <w:u w:val="single"/>
        </w:rPr>
        <w:t>(</w:t>
      </w:r>
      <w:r w:rsidR="008864BC" w:rsidRPr="007E5675">
        <w:rPr>
          <w:sz w:val="23"/>
          <w:szCs w:val="23"/>
          <w:u w:val="single"/>
        </w:rPr>
        <w:t>58,</w:t>
      </w:r>
      <w:r w:rsidR="002109C8" w:rsidRPr="007E5675">
        <w:rPr>
          <w:sz w:val="23"/>
          <w:szCs w:val="23"/>
          <w:u w:val="single"/>
        </w:rPr>
        <w:t>977</w:t>
      </w:r>
      <w:r w:rsidR="00717A46" w:rsidRPr="007E5675">
        <w:rPr>
          <w:sz w:val="23"/>
          <w:szCs w:val="23"/>
          <w:u w:val="single"/>
        </w:rPr>
        <w:t>)</w:t>
      </w:r>
      <w:r w:rsidRPr="007E5675">
        <w:rPr>
          <w:sz w:val="23"/>
          <w:szCs w:val="23"/>
        </w:rPr>
        <w:t xml:space="preserve"> </w:t>
      </w:r>
      <w:r w:rsidRPr="007E5675">
        <w:rPr>
          <w:sz w:val="23"/>
          <w:szCs w:val="23"/>
        </w:rPr>
        <w:tab/>
        <w:t>Min</w:t>
      </w:r>
      <w:r w:rsidR="00F21C73" w:rsidRPr="007E5675">
        <w:rPr>
          <w:sz w:val="23"/>
          <w:szCs w:val="23"/>
        </w:rPr>
        <w:t>.</w:t>
      </w:r>
      <w:r w:rsidRPr="007E5675">
        <w:rPr>
          <w:sz w:val="23"/>
          <w:szCs w:val="23"/>
        </w:rPr>
        <w:t xml:space="preserve"> Bank Bal</w:t>
      </w:r>
      <w:r w:rsidR="001469CF" w:rsidRPr="007E5675">
        <w:rPr>
          <w:sz w:val="23"/>
          <w:szCs w:val="23"/>
        </w:rPr>
        <w:t>ances</w:t>
      </w:r>
      <w:r w:rsidR="00174021">
        <w:rPr>
          <w:sz w:val="23"/>
          <w:szCs w:val="23"/>
        </w:rPr>
        <w:t xml:space="preserve"> and</w:t>
      </w:r>
      <w:r w:rsidR="00673C5B" w:rsidRPr="007E5675">
        <w:rPr>
          <w:sz w:val="23"/>
          <w:szCs w:val="23"/>
        </w:rPr>
        <w:t xml:space="preserve"> </w:t>
      </w:r>
      <w:r w:rsidR="00E30E1A" w:rsidRPr="007E5675">
        <w:rPr>
          <w:sz w:val="23"/>
          <w:szCs w:val="23"/>
        </w:rPr>
        <w:t>Prepayments</w:t>
      </w:r>
    </w:p>
    <w:p w:rsidR="003A563C" w:rsidRPr="007E5675" w:rsidRDefault="003A563C" w:rsidP="00713485">
      <w:pPr>
        <w:jc w:val="both"/>
        <w:rPr>
          <w:sz w:val="23"/>
          <w:szCs w:val="23"/>
        </w:rPr>
      </w:pPr>
    </w:p>
    <w:p w:rsidR="006F1DB4" w:rsidRPr="007E5675" w:rsidRDefault="00174021" w:rsidP="00713485">
      <w:pPr>
        <w:jc w:val="both"/>
        <w:rPr>
          <w:sz w:val="23"/>
          <w:szCs w:val="23"/>
        </w:rPr>
      </w:pPr>
      <w:r>
        <w:rPr>
          <w:sz w:val="23"/>
          <w:szCs w:val="23"/>
        </w:rPr>
        <w:t xml:space="preserve">The following is a further breakdown of the change in Minimum Bank Balances and Prepayments: </w:t>
      </w:r>
    </w:p>
    <w:p w:rsidR="006F1DB4" w:rsidRPr="00E651D1" w:rsidRDefault="006F1DB4" w:rsidP="00713485">
      <w:pPr>
        <w:jc w:val="both"/>
        <w:rPr>
          <w:sz w:val="23"/>
          <w:szCs w:val="23"/>
          <w:highlight w:val="red"/>
        </w:rPr>
      </w:pPr>
    </w:p>
    <w:p w:rsidR="001469CF" w:rsidRPr="007E5675" w:rsidRDefault="00314200" w:rsidP="00713485">
      <w:pPr>
        <w:jc w:val="center"/>
        <w:rPr>
          <w:sz w:val="23"/>
          <w:szCs w:val="23"/>
        </w:rPr>
      </w:pPr>
      <w:r w:rsidRPr="00314200">
        <w:rPr>
          <w:noProof/>
        </w:rPr>
        <w:drawing>
          <wp:inline distT="0" distB="0" distL="0" distR="0">
            <wp:extent cx="5486400" cy="101740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017409"/>
                    </a:xfrm>
                    <a:prstGeom prst="rect">
                      <a:avLst/>
                    </a:prstGeom>
                    <a:noFill/>
                    <a:ln>
                      <a:noFill/>
                    </a:ln>
                  </pic:spPr>
                </pic:pic>
              </a:graphicData>
            </a:graphic>
          </wp:inline>
        </w:drawing>
      </w:r>
    </w:p>
    <w:p w:rsidR="00673C5B" w:rsidRPr="00E651D1" w:rsidRDefault="00673C5B" w:rsidP="00713485">
      <w:pPr>
        <w:jc w:val="both"/>
        <w:rPr>
          <w:color w:val="FF0000"/>
          <w:sz w:val="23"/>
          <w:szCs w:val="23"/>
          <w:highlight w:val="red"/>
        </w:rPr>
      </w:pPr>
    </w:p>
    <w:p w:rsidR="00027788" w:rsidRPr="00027788" w:rsidRDefault="0089221E" w:rsidP="00713485">
      <w:pPr>
        <w:jc w:val="both"/>
        <w:rPr>
          <w:sz w:val="23"/>
          <w:szCs w:val="23"/>
        </w:rPr>
      </w:pPr>
      <w:r>
        <w:rPr>
          <w:sz w:val="23"/>
          <w:szCs w:val="23"/>
        </w:rPr>
        <w:t>The decrease is primarily due to the recharacterization of prepaid levelized PPAs to a right-of-use asset based on the new lease accounting standard, which decreased prepayment by $41.4 million</w:t>
      </w:r>
      <w:r w:rsidR="00D514BA">
        <w:rPr>
          <w:sz w:val="23"/>
          <w:szCs w:val="23"/>
        </w:rPr>
        <w:t>,</w:t>
      </w:r>
      <w:r>
        <w:rPr>
          <w:sz w:val="23"/>
          <w:szCs w:val="23"/>
        </w:rPr>
        <w:t xml:space="preserve"> and a decrease in the Plant McDonough Long-Term Service Agreement (LTSA) prepayment in the amount of $14.5 million due to the contracted outage schedule.  </w:t>
      </w:r>
    </w:p>
    <w:p w:rsidR="006F1DB4" w:rsidRPr="00E47543" w:rsidRDefault="006F1DB4" w:rsidP="00713485">
      <w:pPr>
        <w:jc w:val="both"/>
        <w:rPr>
          <w:sz w:val="23"/>
          <w:szCs w:val="23"/>
          <w:u w:val="single"/>
        </w:rPr>
      </w:pPr>
    </w:p>
    <w:p w:rsidR="00A9755C" w:rsidRPr="00E651D1" w:rsidRDefault="00A9755C" w:rsidP="00713485">
      <w:pPr>
        <w:jc w:val="both"/>
        <w:rPr>
          <w:sz w:val="23"/>
          <w:szCs w:val="23"/>
        </w:rPr>
      </w:pPr>
      <w:r w:rsidRPr="00E651D1">
        <w:rPr>
          <w:sz w:val="23"/>
          <w:szCs w:val="23"/>
          <w:u w:val="single"/>
        </w:rPr>
        <w:t xml:space="preserve">FOOTNOTE </w:t>
      </w:r>
      <w:r w:rsidR="00E30E1A" w:rsidRPr="00E651D1">
        <w:rPr>
          <w:sz w:val="23"/>
          <w:szCs w:val="23"/>
          <w:u w:val="single"/>
        </w:rPr>
        <w:t>A</w:t>
      </w:r>
      <w:r w:rsidR="00771562" w:rsidRPr="00E651D1">
        <w:rPr>
          <w:sz w:val="23"/>
          <w:szCs w:val="23"/>
          <w:u w:val="single"/>
        </w:rPr>
        <w:t>M</w:t>
      </w:r>
      <w:r w:rsidRPr="00E651D1">
        <w:rPr>
          <w:sz w:val="23"/>
          <w:szCs w:val="23"/>
          <w:u w:val="single"/>
        </w:rPr>
        <w:t>/</w:t>
      </w:r>
      <w:r w:rsidRPr="00E651D1">
        <w:rPr>
          <w:sz w:val="23"/>
          <w:szCs w:val="23"/>
        </w:rPr>
        <w:t xml:space="preserve">  </w:t>
      </w:r>
      <w:r w:rsidRPr="00E651D1">
        <w:rPr>
          <w:sz w:val="23"/>
          <w:szCs w:val="23"/>
        </w:rPr>
        <w:tab/>
      </w:r>
      <w:r w:rsidRPr="00E651D1">
        <w:rPr>
          <w:sz w:val="23"/>
          <w:szCs w:val="23"/>
          <w:u w:val="single"/>
        </w:rPr>
        <w:t xml:space="preserve">$ </w:t>
      </w:r>
      <w:r w:rsidR="002109C8" w:rsidRPr="00E651D1">
        <w:rPr>
          <w:sz w:val="23"/>
          <w:szCs w:val="23"/>
          <w:u w:val="single"/>
        </w:rPr>
        <w:t>28,123</w:t>
      </w:r>
      <w:r w:rsidRPr="00E651D1">
        <w:rPr>
          <w:sz w:val="23"/>
          <w:szCs w:val="23"/>
        </w:rPr>
        <w:tab/>
        <w:t>Prepaid Pension Asset</w:t>
      </w:r>
    </w:p>
    <w:p w:rsidR="008A3405" w:rsidRPr="00E651D1" w:rsidRDefault="008A3405" w:rsidP="00713485">
      <w:pPr>
        <w:jc w:val="both"/>
        <w:rPr>
          <w:sz w:val="23"/>
          <w:szCs w:val="23"/>
        </w:rPr>
      </w:pPr>
    </w:p>
    <w:p w:rsidR="002D68A3" w:rsidRPr="00DC5E23" w:rsidRDefault="00261A77" w:rsidP="00713485">
      <w:pPr>
        <w:jc w:val="both"/>
        <w:rPr>
          <w:color w:val="FF0000"/>
          <w:sz w:val="23"/>
          <w:szCs w:val="23"/>
        </w:rPr>
      </w:pPr>
      <w:r w:rsidRPr="00E651D1">
        <w:rPr>
          <w:sz w:val="23"/>
          <w:szCs w:val="23"/>
        </w:rPr>
        <w:t xml:space="preserve">The increase is primarily due to </w:t>
      </w:r>
      <w:r w:rsidR="00DC5E23">
        <w:rPr>
          <w:sz w:val="23"/>
          <w:szCs w:val="23"/>
        </w:rPr>
        <w:t xml:space="preserve">the </w:t>
      </w:r>
      <w:r w:rsidR="00E47543" w:rsidRPr="00E651D1">
        <w:rPr>
          <w:sz w:val="23"/>
          <w:szCs w:val="23"/>
        </w:rPr>
        <w:t xml:space="preserve">expected return on pension plan assets exceeding </w:t>
      </w:r>
      <w:r w:rsidR="008F62B5">
        <w:rPr>
          <w:sz w:val="23"/>
          <w:szCs w:val="23"/>
        </w:rPr>
        <w:t xml:space="preserve">the pension cost.  </w:t>
      </w:r>
      <w:r w:rsidR="00DC5E23">
        <w:rPr>
          <w:color w:val="FF0000"/>
          <w:sz w:val="23"/>
          <w:szCs w:val="23"/>
        </w:rPr>
        <w:t xml:space="preserve"> </w:t>
      </w:r>
    </w:p>
    <w:p w:rsidR="00110EB5" w:rsidRPr="00E651D1" w:rsidRDefault="00110EB5" w:rsidP="00713485">
      <w:pPr>
        <w:jc w:val="both"/>
        <w:rPr>
          <w:sz w:val="23"/>
          <w:szCs w:val="23"/>
          <w:u w:val="single"/>
        </w:rPr>
      </w:pPr>
    </w:p>
    <w:p w:rsidR="00110EB5" w:rsidRPr="00E651D1" w:rsidRDefault="00110EB5" w:rsidP="00713485">
      <w:pPr>
        <w:jc w:val="both"/>
        <w:rPr>
          <w:sz w:val="23"/>
          <w:szCs w:val="23"/>
        </w:rPr>
      </w:pPr>
      <w:r w:rsidRPr="00E651D1">
        <w:rPr>
          <w:sz w:val="23"/>
          <w:szCs w:val="23"/>
          <w:u w:val="single"/>
        </w:rPr>
        <w:t xml:space="preserve">FOOTNOTE </w:t>
      </w:r>
      <w:r w:rsidR="00E30E1A" w:rsidRPr="00E651D1">
        <w:rPr>
          <w:sz w:val="23"/>
          <w:szCs w:val="23"/>
          <w:u w:val="single"/>
        </w:rPr>
        <w:t>A</w:t>
      </w:r>
      <w:r w:rsidR="00771562" w:rsidRPr="00E651D1">
        <w:rPr>
          <w:sz w:val="23"/>
          <w:szCs w:val="23"/>
          <w:u w:val="single"/>
        </w:rPr>
        <w:t>N</w:t>
      </w:r>
      <w:r w:rsidRPr="00E651D1">
        <w:rPr>
          <w:sz w:val="23"/>
          <w:szCs w:val="23"/>
          <w:u w:val="single"/>
        </w:rPr>
        <w:t>/</w:t>
      </w:r>
      <w:r w:rsidRPr="00E651D1">
        <w:rPr>
          <w:sz w:val="23"/>
          <w:szCs w:val="23"/>
        </w:rPr>
        <w:t xml:space="preserve">  </w:t>
      </w:r>
      <w:r w:rsidRPr="00E651D1">
        <w:rPr>
          <w:sz w:val="23"/>
          <w:szCs w:val="23"/>
        </w:rPr>
        <w:tab/>
      </w:r>
      <w:r w:rsidRPr="00E651D1">
        <w:rPr>
          <w:sz w:val="23"/>
          <w:szCs w:val="23"/>
          <w:u w:val="single"/>
        </w:rPr>
        <w:t>$ (</w:t>
      </w:r>
      <w:r w:rsidR="00717A46" w:rsidRPr="00E651D1">
        <w:rPr>
          <w:sz w:val="23"/>
          <w:szCs w:val="23"/>
          <w:u w:val="single"/>
        </w:rPr>
        <w:t>9,108</w:t>
      </w:r>
      <w:r w:rsidRPr="00E651D1">
        <w:rPr>
          <w:sz w:val="23"/>
          <w:szCs w:val="23"/>
          <w:u w:val="single"/>
        </w:rPr>
        <w:t>)</w:t>
      </w:r>
      <w:r w:rsidRPr="00E651D1">
        <w:rPr>
          <w:sz w:val="23"/>
          <w:szCs w:val="23"/>
        </w:rPr>
        <w:tab/>
        <w:t xml:space="preserve"> Customer Deposits</w:t>
      </w:r>
    </w:p>
    <w:p w:rsidR="00110EB5" w:rsidRPr="00E651D1" w:rsidRDefault="00110EB5" w:rsidP="00713485">
      <w:pPr>
        <w:jc w:val="both"/>
        <w:rPr>
          <w:sz w:val="23"/>
          <w:szCs w:val="23"/>
        </w:rPr>
      </w:pPr>
    </w:p>
    <w:p w:rsidR="00110EB5" w:rsidRPr="00E651D1" w:rsidRDefault="00110EB5" w:rsidP="00713485">
      <w:pPr>
        <w:pStyle w:val="BodyText"/>
        <w:jc w:val="both"/>
        <w:rPr>
          <w:rFonts w:ascii="Times New Roman" w:hAnsi="Times New Roman"/>
          <w:sz w:val="23"/>
          <w:szCs w:val="23"/>
        </w:rPr>
      </w:pPr>
      <w:r w:rsidRPr="00E651D1">
        <w:rPr>
          <w:rFonts w:ascii="Times New Roman" w:hAnsi="Times New Roman"/>
          <w:sz w:val="23"/>
          <w:szCs w:val="23"/>
        </w:rPr>
        <w:t xml:space="preserve">The increase is primarily due to </w:t>
      </w:r>
      <w:r w:rsidR="00DC5E23">
        <w:rPr>
          <w:rFonts w:ascii="Times New Roman" w:hAnsi="Times New Roman"/>
          <w:sz w:val="23"/>
          <w:szCs w:val="23"/>
        </w:rPr>
        <w:t xml:space="preserve">projected </w:t>
      </w:r>
      <w:r w:rsidRPr="00E651D1">
        <w:rPr>
          <w:rFonts w:ascii="Times New Roman" w:hAnsi="Times New Roman"/>
          <w:sz w:val="23"/>
          <w:szCs w:val="23"/>
        </w:rPr>
        <w:t>applications for new service and existing</w:t>
      </w:r>
      <w:r w:rsidR="00DC5E23">
        <w:rPr>
          <w:rFonts w:ascii="Times New Roman" w:hAnsi="Times New Roman"/>
          <w:sz w:val="23"/>
          <w:szCs w:val="23"/>
        </w:rPr>
        <w:t xml:space="preserve"> </w:t>
      </w:r>
      <w:r w:rsidRPr="00E651D1">
        <w:rPr>
          <w:rFonts w:ascii="Times New Roman" w:hAnsi="Times New Roman"/>
          <w:sz w:val="23"/>
          <w:szCs w:val="23"/>
        </w:rPr>
        <w:t>customers’ reconnections.</w:t>
      </w:r>
    </w:p>
    <w:p w:rsidR="003246BD" w:rsidRPr="00E651D1" w:rsidRDefault="003246BD" w:rsidP="00713485">
      <w:pPr>
        <w:jc w:val="both"/>
        <w:rPr>
          <w:sz w:val="23"/>
          <w:szCs w:val="23"/>
          <w:u w:val="single"/>
        </w:rPr>
      </w:pPr>
    </w:p>
    <w:p w:rsidR="003A563C" w:rsidRPr="00E651D1" w:rsidRDefault="003A563C" w:rsidP="00713485">
      <w:pPr>
        <w:jc w:val="both"/>
        <w:rPr>
          <w:sz w:val="23"/>
          <w:szCs w:val="23"/>
        </w:rPr>
      </w:pPr>
      <w:r w:rsidRPr="00E651D1">
        <w:rPr>
          <w:sz w:val="23"/>
          <w:szCs w:val="23"/>
          <w:u w:val="single"/>
        </w:rPr>
        <w:t xml:space="preserve">FOOTNOTE </w:t>
      </w:r>
      <w:r w:rsidR="00E30E1A" w:rsidRPr="00E651D1">
        <w:rPr>
          <w:sz w:val="23"/>
          <w:szCs w:val="23"/>
          <w:u w:val="single"/>
        </w:rPr>
        <w:t>A</w:t>
      </w:r>
      <w:r w:rsidR="00771562" w:rsidRPr="00E651D1">
        <w:rPr>
          <w:sz w:val="23"/>
          <w:szCs w:val="23"/>
          <w:u w:val="single"/>
        </w:rPr>
        <w:t>O</w:t>
      </w:r>
      <w:r w:rsidRPr="00E651D1">
        <w:rPr>
          <w:sz w:val="23"/>
          <w:szCs w:val="23"/>
          <w:u w:val="single"/>
        </w:rPr>
        <w:t>/</w:t>
      </w:r>
      <w:r w:rsidRPr="00E651D1">
        <w:rPr>
          <w:sz w:val="23"/>
          <w:szCs w:val="23"/>
        </w:rPr>
        <w:t xml:space="preserve">  </w:t>
      </w:r>
      <w:r w:rsidRPr="00E651D1">
        <w:rPr>
          <w:sz w:val="23"/>
          <w:szCs w:val="23"/>
        </w:rPr>
        <w:tab/>
      </w:r>
      <w:r w:rsidRPr="00E651D1">
        <w:rPr>
          <w:sz w:val="23"/>
          <w:szCs w:val="23"/>
          <w:u w:val="single"/>
        </w:rPr>
        <w:t xml:space="preserve">$ </w:t>
      </w:r>
      <w:r w:rsidR="00717A46" w:rsidRPr="00E651D1">
        <w:rPr>
          <w:sz w:val="23"/>
          <w:szCs w:val="23"/>
          <w:u w:val="single"/>
        </w:rPr>
        <w:t>2,592</w:t>
      </w:r>
      <w:r w:rsidRPr="00E651D1">
        <w:rPr>
          <w:sz w:val="23"/>
          <w:szCs w:val="23"/>
        </w:rPr>
        <w:t xml:space="preserve"> </w:t>
      </w:r>
      <w:r w:rsidRPr="00E651D1">
        <w:rPr>
          <w:sz w:val="23"/>
          <w:szCs w:val="23"/>
        </w:rPr>
        <w:tab/>
        <w:t>Accumulated Interest on Customer Deposits</w:t>
      </w:r>
      <w:r w:rsidR="00DC5E23">
        <w:rPr>
          <w:sz w:val="23"/>
          <w:szCs w:val="23"/>
        </w:rPr>
        <w:t xml:space="preserve"> </w:t>
      </w:r>
    </w:p>
    <w:p w:rsidR="003A563C" w:rsidRPr="00E651D1" w:rsidRDefault="003A563C" w:rsidP="00713485">
      <w:pPr>
        <w:jc w:val="both"/>
        <w:rPr>
          <w:sz w:val="23"/>
          <w:szCs w:val="23"/>
        </w:rPr>
      </w:pPr>
    </w:p>
    <w:p w:rsidR="005561C8" w:rsidRDefault="005561C8" w:rsidP="00713485">
      <w:pPr>
        <w:jc w:val="both"/>
        <w:rPr>
          <w:sz w:val="23"/>
          <w:szCs w:val="23"/>
        </w:rPr>
      </w:pPr>
      <w:r>
        <w:rPr>
          <w:sz w:val="23"/>
          <w:szCs w:val="23"/>
        </w:rPr>
        <w:t xml:space="preserve">The decrease is primarily due to a larger volume of refunds of interest in December 2018, which impacted the </w:t>
      </w:r>
      <w:r w:rsidR="002724BA">
        <w:rPr>
          <w:sz w:val="23"/>
          <w:szCs w:val="23"/>
        </w:rPr>
        <w:t xml:space="preserve">projected </w:t>
      </w:r>
      <w:r>
        <w:rPr>
          <w:sz w:val="23"/>
          <w:szCs w:val="23"/>
        </w:rPr>
        <w:t xml:space="preserve">13-month average </w:t>
      </w:r>
      <w:r w:rsidR="002724BA">
        <w:rPr>
          <w:sz w:val="23"/>
          <w:szCs w:val="23"/>
        </w:rPr>
        <w:t xml:space="preserve">balance of </w:t>
      </w:r>
      <w:r>
        <w:rPr>
          <w:sz w:val="23"/>
          <w:szCs w:val="23"/>
        </w:rPr>
        <w:t xml:space="preserve">accumulated interest </w:t>
      </w:r>
      <w:r w:rsidR="00EC117B">
        <w:rPr>
          <w:sz w:val="23"/>
          <w:szCs w:val="23"/>
        </w:rPr>
        <w:t xml:space="preserve">on </w:t>
      </w:r>
      <w:r>
        <w:rPr>
          <w:sz w:val="23"/>
          <w:szCs w:val="23"/>
        </w:rPr>
        <w:t>customer deposits</w:t>
      </w:r>
      <w:r w:rsidR="002724BA">
        <w:rPr>
          <w:sz w:val="23"/>
          <w:szCs w:val="23"/>
        </w:rPr>
        <w:t xml:space="preserve"> for the rate case period</w:t>
      </w:r>
      <w:r>
        <w:rPr>
          <w:sz w:val="23"/>
          <w:szCs w:val="23"/>
        </w:rPr>
        <w:t xml:space="preserve">. This is partially offset by continual accrual of interest on </w:t>
      </w:r>
      <w:r w:rsidR="002724BA">
        <w:rPr>
          <w:sz w:val="23"/>
          <w:szCs w:val="23"/>
        </w:rPr>
        <w:t xml:space="preserve">existing </w:t>
      </w:r>
      <w:r>
        <w:rPr>
          <w:sz w:val="23"/>
          <w:szCs w:val="23"/>
        </w:rPr>
        <w:t xml:space="preserve">customer deposits and interest on new customer deposits in the test period. </w:t>
      </w:r>
    </w:p>
    <w:p w:rsidR="00DE660E" w:rsidRPr="00E47543" w:rsidRDefault="00DE660E" w:rsidP="00713485">
      <w:pPr>
        <w:jc w:val="both"/>
        <w:rPr>
          <w:sz w:val="23"/>
          <w:szCs w:val="23"/>
          <w:u w:val="single"/>
        </w:rPr>
      </w:pPr>
    </w:p>
    <w:p w:rsidR="004A45CF" w:rsidRDefault="004A45CF" w:rsidP="00713485">
      <w:pPr>
        <w:jc w:val="both"/>
        <w:rPr>
          <w:sz w:val="23"/>
          <w:szCs w:val="23"/>
          <w:highlight w:val="yellow"/>
          <w:u w:val="single"/>
        </w:rPr>
      </w:pPr>
      <w:r>
        <w:rPr>
          <w:sz w:val="23"/>
          <w:szCs w:val="23"/>
          <w:highlight w:val="yellow"/>
          <w:u w:val="single"/>
        </w:rPr>
        <w:br w:type="page"/>
      </w:r>
    </w:p>
    <w:p w:rsidR="003A563C" w:rsidRPr="007E25DD" w:rsidRDefault="003A563C" w:rsidP="00713485">
      <w:pPr>
        <w:jc w:val="both"/>
        <w:rPr>
          <w:sz w:val="23"/>
          <w:szCs w:val="23"/>
        </w:rPr>
      </w:pPr>
      <w:r w:rsidRPr="007E25DD">
        <w:rPr>
          <w:sz w:val="23"/>
          <w:szCs w:val="23"/>
          <w:u w:val="single"/>
        </w:rPr>
        <w:lastRenderedPageBreak/>
        <w:t xml:space="preserve">FOOTNOTE </w:t>
      </w:r>
      <w:r w:rsidR="00E30E1A" w:rsidRPr="007E25DD">
        <w:rPr>
          <w:sz w:val="23"/>
          <w:szCs w:val="23"/>
          <w:u w:val="single"/>
        </w:rPr>
        <w:t>A</w:t>
      </w:r>
      <w:r w:rsidR="00771562" w:rsidRPr="007E25DD">
        <w:rPr>
          <w:sz w:val="23"/>
          <w:szCs w:val="23"/>
          <w:u w:val="single"/>
        </w:rPr>
        <w:t>P</w:t>
      </w:r>
      <w:r w:rsidRPr="007E25DD">
        <w:rPr>
          <w:sz w:val="23"/>
          <w:szCs w:val="23"/>
          <w:u w:val="single"/>
        </w:rPr>
        <w:t>/</w:t>
      </w:r>
      <w:r w:rsidRPr="007E25DD">
        <w:rPr>
          <w:sz w:val="23"/>
          <w:szCs w:val="23"/>
        </w:rPr>
        <w:t xml:space="preserve"> </w:t>
      </w:r>
      <w:r w:rsidRPr="007E25DD">
        <w:rPr>
          <w:sz w:val="23"/>
          <w:szCs w:val="23"/>
        </w:rPr>
        <w:tab/>
      </w:r>
      <w:r w:rsidRPr="007E25DD">
        <w:rPr>
          <w:sz w:val="23"/>
          <w:szCs w:val="23"/>
          <w:u w:val="single"/>
        </w:rPr>
        <w:t>$</w:t>
      </w:r>
      <w:r w:rsidR="002109C8" w:rsidRPr="007E25DD">
        <w:rPr>
          <w:sz w:val="23"/>
          <w:szCs w:val="23"/>
          <w:u w:val="single"/>
        </w:rPr>
        <w:t>2</w:t>
      </w:r>
      <w:r w:rsidR="0012732E">
        <w:rPr>
          <w:sz w:val="23"/>
          <w:szCs w:val="23"/>
          <w:u w:val="single"/>
        </w:rPr>
        <w:t>62,239</w:t>
      </w:r>
      <w:r w:rsidRPr="007E25DD">
        <w:rPr>
          <w:sz w:val="23"/>
          <w:szCs w:val="23"/>
        </w:rPr>
        <w:t xml:space="preserve"> </w:t>
      </w:r>
      <w:r w:rsidRPr="007E25DD">
        <w:rPr>
          <w:sz w:val="23"/>
          <w:szCs w:val="23"/>
        </w:rPr>
        <w:tab/>
        <w:t>Operating Reserve</w:t>
      </w:r>
      <w:r w:rsidR="00224285" w:rsidRPr="007E25DD">
        <w:rPr>
          <w:sz w:val="23"/>
          <w:szCs w:val="23"/>
        </w:rPr>
        <w:t>s</w:t>
      </w:r>
      <w:r w:rsidR="008B68EE" w:rsidRPr="007E25DD">
        <w:rPr>
          <w:color w:val="FF0000"/>
          <w:sz w:val="23"/>
          <w:szCs w:val="23"/>
        </w:rPr>
        <w:t xml:space="preserve"> </w:t>
      </w:r>
    </w:p>
    <w:p w:rsidR="003A563C" w:rsidRPr="009E2E59" w:rsidRDefault="003A563C" w:rsidP="00713485">
      <w:pPr>
        <w:jc w:val="both"/>
        <w:rPr>
          <w:sz w:val="23"/>
          <w:szCs w:val="23"/>
          <w:highlight w:val="yellow"/>
        </w:rPr>
      </w:pPr>
    </w:p>
    <w:p w:rsidR="004A45CF" w:rsidRDefault="004A45CF" w:rsidP="00713485">
      <w:pPr>
        <w:jc w:val="both"/>
        <w:rPr>
          <w:sz w:val="23"/>
          <w:szCs w:val="23"/>
        </w:rPr>
      </w:pPr>
      <w:r>
        <w:rPr>
          <w:sz w:val="23"/>
          <w:szCs w:val="23"/>
        </w:rPr>
        <w:t>The decrease in Operating Reserves liability is primarily driven by the completion of the Toshiba Parent Guarantee refund to customer</w:t>
      </w:r>
      <w:r w:rsidR="007E25DD">
        <w:rPr>
          <w:sz w:val="23"/>
          <w:szCs w:val="23"/>
        </w:rPr>
        <w:t>s</w:t>
      </w:r>
      <w:r>
        <w:rPr>
          <w:sz w:val="23"/>
          <w:szCs w:val="23"/>
        </w:rPr>
        <w:t xml:space="preserve"> in August 2018; </w:t>
      </w:r>
      <w:r w:rsidR="007E25DD">
        <w:rPr>
          <w:sz w:val="23"/>
          <w:szCs w:val="23"/>
        </w:rPr>
        <w:t>completion of federal tax reform refunds approved by the Commission in February 2020</w:t>
      </w:r>
      <w:r>
        <w:rPr>
          <w:sz w:val="23"/>
          <w:szCs w:val="23"/>
        </w:rPr>
        <w:t xml:space="preserve">; and an increase to the following Operating Reserves asset accounts: storm damage reserve, </w:t>
      </w:r>
      <w:r w:rsidR="007E25DD">
        <w:rPr>
          <w:sz w:val="23"/>
          <w:szCs w:val="23"/>
        </w:rPr>
        <w:t xml:space="preserve">net </w:t>
      </w:r>
      <w:r>
        <w:rPr>
          <w:sz w:val="23"/>
          <w:szCs w:val="23"/>
        </w:rPr>
        <w:t>environmental remediation; and McDonough gas lateral</w:t>
      </w:r>
      <w:r w:rsidR="007E25DD">
        <w:rPr>
          <w:sz w:val="23"/>
          <w:szCs w:val="23"/>
        </w:rPr>
        <w:t xml:space="preserve"> receivable</w:t>
      </w:r>
      <w:r>
        <w:rPr>
          <w:sz w:val="23"/>
          <w:szCs w:val="23"/>
        </w:rPr>
        <w:t xml:space="preserve">.  </w:t>
      </w:r>
    </w:p>
    <w:p w:rsidR="004A45CF" w:rsidRDefault="004A45CF" w:rsidP="00713485">
      <w:pPr>
        <w:jc w:val="both"/>
        <w:rPr>
          <w:sz w:val="23"/>
          <w:szCs w:val="23"/>
        </w:rPr>
      </w:pPr>
    </w:p>
    <w:p w:rsidR="004A45CF" w:rsidRDefault="00BB673F" w:rsidP="00713485">
      <w:pPr>
        <w:jc w:val="center"/>
        <w:rPr>
          <w:sz w:val="23"/>
          <w:szCs w:val="23"/>
        </w:rPr>
      </w:pPr>
      <w:r w:rsidRPr="00BB673F">
        <w:rPr>
          <w:noProof/>
        </w:rPr>
        <w:drawing>
          <wp:inline distT="0" distB="0" distL="0" distR="0">
            <wp:extent cx="5486400" cy="1806728"/>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1806728"/>
                    </a:xfrm>
                    <a:prstGeom prst="rect">
                      <a:avLst/>
                    </a:prstGeom>
                    <a:noFill/>
                    <a:ln>
                      <a:noFill/>
                    </a:ln>
                  </pic:spPr>
                </pic:pic>
              </a:graphicData>
            </a:graphic>
          </wp:inline>
        </w:drawing>
      </w:r>
    </w:p>
    <w:p w:rsidR="004A45CF" w:rsidRDefault="004A45CF" w:rsidP="00713485">
      <w:pPr>
        <w:jc w:val="both"/>
        <w:rPr>
          <w:sz w:val="23"/>
          <w:szCs w:val="23"/>
        </w:rPr>
      </w:pPr>
    </w:p>
    <w:p w:rsidR="00DC5E23" w:rsidRDefault="00DC5E23" w:rsidP="00713485">
      <w:pPr>
        <w:jc w:val="both"/>
        <w:rPr>
          <w:sz w:val="23"/>
          <w:szCs w:val="23"/>
          <w:u w:val="single"/>
        </w:rPr>
      </w:pPr>
    </w:p>
    <w:p w:rsidR="00673C5B" w:rsidRPr="009E2E59" w:rsidRDefault="00673C5B" w:rsidP="00713485">
      <w:pPr>
        <w:jc w:val="both"/>
        <w:rPr>
          <w:sz w:val="23"/>
          <w:szCs w:val="23"/>
        </w:rPr>
      </w:pPr>
      <w:r w:rsidRPr="009E2E59">
        <w:rPr>
          <w:sz w:val="23"/>
          <w:szCs w:val="23"/>
          <w:u w:val="single"/>
        </w:rPr>
        <w:t>FOOTNOTE A</w:t>
      </w:r>
      <w:r w:rsidR="00771562" w:rsidRPr="009E2E59">
        <w:rPr>
          <w:sz w:val="23"/>
          <w:szCs w:val="23"/>
          <w:u w:val="single"/>
        </w:rPr>
        <w:t>Q</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717A46" w:rsidRPr="009E2E59">
        <w:rPr>
          <w:sz w:val="23"/>
          <w:szCs w:val="23"/>
          <w:u w:val="single"/>
        </w:rPr>
        <w:t>(2,889)</w:t>
      </w:r>
      <w:r w:rsidRPr="009E2E59">
        <w:rPr>
          <w:sz w:val="23"/>
          <w:szCs w:val="23"/>
        </w:rPr>
        <w:t xml:space="preserve"> </w:t>
      </w:r>
      <w:r w:rsidRPr="009E2E59">
        <w:rPr>
          <w:sz w:val="23"/>
          <w:szCs w:val="23"/>
        </w:rPr>
        <w:tab/>
      </w:r>
      <w:r w:rsidR="00717A46" w:rsidRPr="009E2E59">
        <w:rPr>
          <w:sz w:val="23"/>
          <w:szCs w:val="23"/>
        </w:rPr>
        <w:t>Future Nuclear</w:t>
      </w:r>
    </w:p>
    <w:p w:rsidR="00224285" w:rsidRDefault="00224285" w:rsidP="00713485">
      <w:pPr>
        <w:jc w:val="both"/>
        <w:rPr>
          <w:sz w:val="23"/>
          <w:szCs w:val="23"/>
        </w:rPr>
      </w:pPr>
    </w:p>
    <w:p w:rsidR="00DC5E23" w:rsidRDefault="00DC5E23" w:rsidP="00713485">
      <w:pPr>
        <w:jc w:val="both"/>
        <w:rPr>
          <w:sz w:val="23"/>
          <w:szCs w:val="23"/>
        </w:rPr>
      </w:pPr>
      <w:r>
        <w:rPr>
          <w:sz w:val="23"/>
          <w:szCs w:val="23"/>
        </w:rPr>
        <w:t>The decrease reflects the proposed 3-year amortization of the deferred costs approved by the Commission to investigate the option of pursuing new nuclear generation in Stewart County,</w:t>
      </w:r>
      <w:r w:rsidR="00F12882">
        <w:rPr>
          <w:sz w:val="23"/>
          <w:szCs w:val="23"/>
        </w:rPr>
        <w:t xml:space="preserve"> </w:t>
      </w:r>
      <w:r>
        <w:rPr>
          <w:sz w:val="23"/>
          <w:szCs w:val="23"/>
        </w:rPr>
        <w:t xml:space="preserve">Georgia.  </w:t>
      </w:r>
    </w:p>
    <w:p w:rsidR="00F12882" w:rsidRPr="00E47543" w:rsidRDefault="00F12882" w:rsidP="00713485">
      <w:pPr>
        <w:jc w:val="both"/>
        <w:rPr>
          <w:sz w:val="23"/>
          <w:szCs w:val="23"/>
        </w:rPr>
      </w:pPr>
    </w:p>
    <w:p w:rsidR="00717A46" w:rsidRPr="009E2E59" w:rsidRDefault="00717A46" w:rsidP="00713485">
      <w:pPr>
        <w:jc w:val="both"/>
        <w:rPr>
          <w:sz w:val="23"/>
          <w:szCs w:val="23"/>
        </w:rPr>
      </w:pPr>
      <w:r w:rsidRPr="009E2E59">
        <w:rPr>
          <w:sz w:val="23"/>
          <w:szCs w:val="23"/>
          <w:u w:val="single"/>
        </w:rPr>
        <w:t>FOOTNOTE A</w:t>
      </w:r>
      <w:r w:rsidR="00771562" w:rsidRPr="009E2E59">
        <w:rPr>
          <w:sz w:val="23"/>
          <w:szCs w:val="23"/>
          <w:u w:val="single"/>
        </w:rPr>
        <w:t>R</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(11,507)</w:t>
      </w:r>
      <w:r w:rsidRPr="009E2E59">
        <w:rPr>
          <w:sz w:val="23"/>
          <w:szCs w:val="23"/>
        </w:rPr>
        <w:t xml:space="preserve"> </w:t>
      </w:r>
      <w:r w:rsidRPr="009E2E59">
        <w:rPr>
          <w:sz w:val="23"/>
          <w:szCs w:val="23"/>
        </w:rPr>
        <w:tab/>
        <w:t>Environmental CWIP Regulatory Assets</w:t>
      </w:r>
    </w:p>
    <w:p w:rsidR="00717A46" w:rsidRPr="009E2E59" w:rsidRDefault="00717A46" w:rsidP="00713485">
      <w:pPr>
        <w:jc w:val="both"/>
        <w:rPr>
          <w:sz w:val="23"/>
          <w:szCs w:val="23"/>
        </w:rPr>
      </w:pPr>
    </w:p>
    <w:p w:rsidR="00717A46" w:rsidRPr="009E2E59" w:rsidRDefault="00E35576" w:rsidP="00713485">
      <w:pPr>
        <w:jc w:val="both"/>
        <w:rPr>
          <w:sz w:val="23"/>
          <w:szCs w:val="23"/>
        </w:rPr>
      </w:pPr>
      <w:r w:rsidRPr="009E2E59">
        <w:rPr>
          <w:sz w:val="23"/>
          <w:szCs w:val="23"/>
        </w:rPr>
        <w:t>The decrease</w:t>
      </w:r>
      <w:r w:rsidR="00DC5E23">
        <w:rPr>
          <w:sz w:val="23"/>
          <w:szCs w:val="23"/>
        </w:rPr>
        <w:t xml:space="preserve"> </w:t>
      </w:r>
      <w:r w:rsidRPr="009E2E59">
        <w:rPr>
          <w:sz w:val="23"/>
          <w:szCs w:val="23"/>
        </w:rPr>
        <w:t xml:space="preserve">is due to the </w:t>
      </w:r>
      <w:r w:rsidR="00DC5E23">
        <w:rPr>
          <w:sz w:val="23"/>
          <w:szCs w:val="23"/>
        </w:rPr>
        <w:t xml:space="preserve">continued </w:t>
      </w:r>
      <w:r w:rsidRPr="009E2E59">
        <w:rPr>
          <w:sz w:val="23"/>
          <w:szCs w:val="23"/>
        </w:rPr>
        <w:t xml:space="preserve">amortization of </w:t>
      </w:r>
      <w:r w:rsidR="00DC5E23">
        <w:rPr>
          <w:sz w:val="23"/>
          <w:szCs w:val="23"/>
        </w:rPr>
        <w:t>cancelled environmental construction projects</w:t>
      </w:r>
      <w:r w:rsidRPr="009E2E59">
        <w:rPr>
          <w:sz w:val="23"/>
          <w:szCs w:val="23"/>
        </w:rPr>
        <w:t xml:space="preserve"> associated with Plant Branch Units 3&amp;4 and Plant Yates Units 6&amp;7 based on the Commission’s Order in Docket No. 36989.</w:t>
      </w:r>
    </w:p>
    <w:p w:rsidR="00825FBE" w:rsidRDefault="00825FBE" w:rsidP="00713485">
      <w:pPr>
        <w:jc w:val="both"/>
        <w:rPr>
          <w:sz w:val="23"/>
          <w:szCs w:val="23"/>
          <w:u w:val="single"/>
        </w:rPr>
      </w:pPr>
    </w:p>
    <w:p w:rsidR="00351A88" w:rsidRPr="009E2E59" w:rsidRDefault="00351A88" w:rsidP="00713485">
      <w:pPr>
        <w:jc w:val="both"/>
        <w:rPr>
          <w:sz w:val="23"/>
          <w:szCs w:val="23"/>
          <w:u w:val="single"/>
        </w:rPr>
      </w:pPr>
      <w:r w:rsidRPr="009E2E59">
        <w:rPr>
          <w:sz w:val="23"/>
          <w:szCs w:val="23"/>
          <w:u w:val="single"/>
        </w:rPr>
        <w:t>FOOTNOTE A</w:t>
      </w:r>
      <w:r w:rsidR="00771562" w:rsidRPr="009E2E59">
        <w:rPr>
          <w:sz w:val="23"/>
          <w:szCs w:val="23"/>
          <w:u w:val="single"/>
        </w:rPr>
        <w:t>S</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717A46" w:rsidRPr="009E2E59">
        <w:rPr>
          <w:sz w:val="23"/>
          <w:szCs w:val="23"/>
          <w:u w:val="single"/>
        </w:rPr>
        <w:t>490,371</w:t>
      </w:r>
      <w:r w:rsidRPr="009E2E59">
        <w:rPr>
          <w:sz w:val="23"/>
          <w:szCs w:val="23"/>
        </w:rPr>
        <w:tab/>
        <w:t>Retired Units’ N</w:t>
      </w:r>
      <w:r w:rsidR="00DC5E23">
        <w:rPr>
          <w:sz w:val="23"/>
          <w:szCs w:val="23"/>
        </w:rPr>
        <w:t>et Book Value</w:t>
      </w:r>
      <w:r w:rsidRPr="009E2E59">
        <w:rPr>
          <w:sz w:val="23"/>
          <w:szCs w:val="23"/>
        </w:rPr>
        <w:t xml:space="preserve"> Regulatory Assets</w:t>
      </w:r>
    </w:p>
    <w:p w:rsidR="00351A88" w:rsidRPr="009E2E59" w:rsidRDefault="00351A88" w:rsidP="00713485">
      <w:pPr>
        <w:jc w:val="both"/>
        <w:rPr>
          <w:sz w:val="23"/>
          <w:szCs w:val="23"/>
        </w:rPr>
      </w:pPr>
    </w:p>
    <w:p w:rsidR="000034F8" w:rsidRPr="006C57DE" w:rsidRDefault="00E35576" w:rsidP="00713485">
      <w:pPr>
        <w:jc w:val="both"/>
        <w:rPr>
          <w:color w:val="FF0000"/>
          <w:sz w:val="23"/>
          <w:szCs w:val="23"/>
        </w:rPr>
      </w:pPr>
      <w:r w:rsidRPr="009E2E59">
        <w:rPr>
          <w:sz w:val="23"/>
          <w:szCs w:val="23"/>
        </w:rPr>
        <w:t>Th</w:t>
      </w:r>
      <w:r w:rsidR="00DC5E23">
        <w:rPr>
          <w:sz w:val="23"/>
          <w:szCs w:val="23"/>
        </w:rPr>
        <w:t>e</w:t>
      </w:r>
      <w:r w:rsidRPr="009E2E59">
        <w:rPr>
          <w:sz w:val="23"/>
          <w:szCs w:val="23"/>
        </w:rPr>
        <w:t xml:space="preserve"> increase reflects the </w:t>
      </w:r>
      <w:r w:rsidR="00DC5E23">
        <w:rPr>
          <w:sz w:val="23"/>
          <w:szCs w:val="23"/>
        </w:rPr>
        <w:t xml:space="preserve">proposed reclassification </w:t>
      </w:r>
      <w:r w:rsidRPr="009E2E59">
        <w:rPr>
          <w:sz w:val="23"/>
          <w:szCs w:val="23"/>
        </w:rPr>
        <w:t>of the remaining net book value of Plants Hammond Units 1-4, McIntosh Unit 1, Estatoah Unit 1, Langdale Units 5-6, and Riverview Units 1-2</w:t>
      </w:r>
      <w:r w:rsidR="00DC5E23">
        <w:rPr>
          <w:sz w:val="23"/>
          <w:szCs w:val="23"/>
        </w:rPr>
        <w:t xml:space="preserve"> to a regulatory asset</w:t>
      </w:r>
      <w:r w:rsidR="006367BB">
        <w:rPr>
          <w:sz w:val="23"/>
          <w:szCs w:val="23"/>
        </w:rPr>
        <w:t>. The increase is partially offset by the proposed amortization of these regulatory assets</w:t>
      </w:r>
      <w:r w:rsidR="00F12882">
        <w:rPr>
          <w:sz w:val="23"/>
          <w:szCs w:val="23"/>
        </w:rPr>
        <w:t xml:space="preserve"> and net book value of Plant Mitchell Unit 3</w:t>
      </w:r>
      <w:r w:rsidR="006367BB">
        <w:rPr>
          <w:sz w:val="23"/>
          <w:szCs w:val="23"/>
        </w:rPr>
        <w:t xml:space="preserve"> (Plant Hammond Units 1-4 over the useful lives of the units as approved in the 2013 base rate case and Plant</w:t>
      </w:r>
      <w:r w:rsidR="00F12882">
        <w:rPr>
          <w:sz w:val="23"/>
          <w:szCs w:val="23"/>
        </w:rPr>
        <w:t>s</w:t>
      </w:r>
      <w:r w:rsidR="006367BB">
        <w:rPr>
          <w:sz w:val="23"/>
          <w:szCs w:val="23"/>
        </w:rPr>
        <w:t xml:space="preserve"> McIntosh Unit</w:t>
      </w:r>
      <w:r w:rsidR="00F12882">
        <w:rPr>
          <w:sz w:val="23"/>
          <w:szCs w:val="23"/>
        </w:rPr>
        <w:t xml:space="preserve"> 1, Mitchell Unit 3, and hydro units</w:t>
      </w:r>
      <w:r w:rsidR="006367BB">
        <w:rPr>
          <w:sz w:val="23"/>
          <w:szCs w:val="23"/>
        </w:rPr>
        <w:t xml:space="preserve"> over a 3-year period</w:t>
      </w:r>
      <w:r w:rsidR="00F12882">
        <w:rPr>
          <w:sz w:val="23"/>
          <w:szCs w:val="23"/>
        </w:rPr>
        <w:t xml:space="preserve"> ending December 2022</w:t>
      </w:r>
      <w:r w:rsidR="006367BB">
        <w:rPr>
          <w:sz w:val="23"/>
          <w:szCs w:val="23"/>
        </w:rPr>
        <w:t>), along with</w:t>
      </w:r>
      <w:r w:rsidR="00FC6FA8" w:rsidRPr="00094E31">
        <w:rPr>
          <w:sz w:val="23"/>
          <w:szCs w:val="23"/>
        </w:rPr>
        <w:t xml:space="preserve"> the continued amortization of </w:t>
      </w:r>
      <w:r w:rsidR="00F12882">
        <w:rPr>
          <w:sz w:val="23"/>
          <w:szCs w:val="23"/>
        </w:rPr>
        <w:t xml:space="preserve">net book value of </w:t>
      </w:r>
      <w:r w:rsidR="00FC6FA8" w:rsidRPr="00094E31">
        <w:rPr>
          <w:sz w:val="23"/>
          <w:szCs w:val="23"/>
        </w:rPr>
        <w:t>Plant Branch</w:t>
      </w:r>
      <w:r w:rsidR="00F12882">
        <w:rPr>
          <w:sz w:val="23"/>
          <w:szCs w:val="23"/>
        </w:rPr>
        <w:t xml:space="preserve"> Units 1-4</w:t>
      </w:r>
      <w:r w:rsidR="00FC6FA8" w:rsidRPr="00094E31">
        <w:rPr>
          <w:sz w:val="23"/>
          <w:szCs w:val="23"/>
        </w:rPr>
        <w:t>.</w:t>
      </w:r>
      <w:r w:rsidR="00FC6FA8">
        <w:rPr>
          <w:sz w:val="23"/>
          <w:szCs w:val="23"/>
        </w:rPr>
        <w:t xml:space="preserve"> </w:t>
      </w:r>
    </w:p>
    <w:p w:rsidR="00351A88" w:rsidRPr="009E2E59" w:rsidRDefault="00351A88" w:rsidP="00713485">
      <w:pPr>
        <w:jc w:val="both"/>
        <w:rPr>
          <w:sz w:val="23"/>
          <w:szCs w:val="23"/>
        </w:rPr>
      </w:pPr>
    </w:p>
    <w:p w:rsidR="00F12882" w:rsidRDefault="00F12882">
      <w:pPr>
        <w:rPr>
          <w:sz w:val="23"/>
          <w:szCs w:val="23"/>
          <w:u w:val="single"/>
        </w:rPr>
      </w:pPr>
      <w:r>
        <w:rPr>
          <w:sz w:val="23"/>
          <w:szCs w:val="23"/>
          <w:u w:val="single"/>
        </w:rPr>
        <w:br w:type="page"/>
      </w:r>
    </w:p>
    <w:p w:rsidR="000A4706" w:rsidRPr="009E2E59" w:rsidRDefault="000A4706" w:rsidP="00713485">
      <w:pPr>
        <w:jc w:val="both"/>
        <w:rPr>
          <w:sz w:val="23"/>
          <w:szCs w:val="23"/>
          <w:u w:val="single"/>
        </w:rPr>
      </w:pPr>
      <w:r w:rsidRPr="009E2E59">
        <w:rPr>
          <w:sz w:val="23"/>
          <w:szCs w:val="23"/>
          <w:u w:val="single"/>
        </w:rPr>
        <w:lastRenderedPageBreak/>
        <w:t>FOOTNOTE A</w:t>
      </w:r>
      <w:r w:rsidR="00771562" w:rsidRPr="009E2E59">
        <w:rPr>
          <w:sz w:val="23"/>
          <w:szCs w:val="23"/>
          <w:u w:val="single"/>
        </w:rPr>
        <w:t>T</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717A46" w:rsidRPr="009E2E59">
        <w:rPr>
          <w:sz w:val="23"/>
          <w:szCs w:val="23"/>
          <w:u w:val="single"/>
        </w:rPr>
        <w:t>10,981</w:t>
      </w:r>
      <w:r w:rsidRPr="009E2E59">
        <w:rPr>
          <w:sz w:val="23"/>
          <w:szCs w:val="23"/>
        </w:rPr>
        <w:tab/>
      </w:r>
      <w:r w:rsidR="00717A46" w:rsidRPr="009E2E59">
        <w:rPr>
          <w:sz w:val="23"/>
          <w:szCs w:val="23"/>
        </w:rPr>
        <w:t xml:space="preserve">Obsolete Inventory </w:t>
      </w:r>
    </w:p>
    <w:p w:rsidR="00717A46" w:rsidRPr="009E2E59" w:rsidRDefault="00717A46" w:rsidP="00713485">
      <w:pPr>
        <w:jc w:val="both"/>
        <w:rPr>
          <w:sz w:val="23"/>
          <w:szCs w:val="23"/>
        </w:rPr>
      </w:pPr>
    </w:p>
    <w:p w:rsidR="00717A46" w:rsidRPr="00F05B0B" w:rsidRDefault="00E35576" w:rsidP="00713485">
      <w:pPr>
        <w:jc w:val="both"/>
        <w:rPr>
          <w:sz w:val="23"/>
          <w:szCs w:val="23"/>
        </w:rPr>
      </w:pPr>
      <w:r w:rsidRPr="009E2E59">
        <w:rPr>
          <w:sz w:val="23"/>
          <w:szCs w:val="23"/>
        </w:rPr>
        <w:t>Th</w:t>
      </w:r>
      <w:r w:rsidR="00DC5E23">
        <w:rPr>
          <w:sz w:val="23"/>
          <w:szCs w:val="23"/>
        </w:rPr>
        <w:t>e</w:t>
      </w:r>
      <w:r w:rsidRPr="009E2E59">
        <w:rPr>
          <w:sz w:val="23"/>
          <w:szCs w:val="23"/>
        </w:rPr>
        <w:t xml:space="preserve"> increase reflects the </w:t>
      </w:r>
      <w:r w:rsidR="00DC5E23">
        <w:rPr>
          <w:sz w:val="23"/>
          <w:szCs w:val="23"/>
        </w:rPr>
        <w:t xml:space="preserve">reclassification </w:t>
      </w:r>
      <w:r w:rsidR="006C57DE">
        <w:rPr>
          <w:sz w:val="23"/>
          <w:szCs w:val="23"/>
        </w:rPr>
        <w:t xml:space="preserve">of </w:t>
      </w:r>
      <w:r w:rsidRPr="009E2E59">
        <w:rPr>
          <w:sz w:val="23"/>
          <w:szCs w:val="23"/>
        </w:rPr>
        <w:t>additional materials and supplies associated with the proposed decertification of units in Docket No. 42310 to a regulatory asset</w:t>
      </w:r>
      <w:r w:rsidR="00DC5E23">
        <w:rPr>
          <w:sz w:val="23"/>
          <w:szCs w:val="23"/>
        </w:rPr>
        <w:t>,</w:t>
      </w:r>
      <w:r w:rsidRPr="009E2E59">
        <w:rPr>
          <w:sz w:val="23"/>
          <w:szCs w:val="23"/>
        </w:rPr>
        <w:t xml:space="preserve"> partially offset </w:t>
      </w:r>
      <w:r w:rsidR="00C6482C">
        <w:rPr>
          <w:sz w:val="23"/>
          <w:szCs w:val="23"/>
        </w:rPr>
        <w:t>by</w:t>
      </w:r>
      <w:r w:rsidRPr="009E2E59">
        <w:rPr>
          <w:sz w:val="23"/>
          <w:szCs w:val="23"/>
        </w:rPr>
        <w:t xml:space="preserve"> the proposed 3-year amortization of the regulatory asset balance and the adjustment </w:t>
      </w:r>
      <w:r w:rsidR="00C6482C">
        <w:rPr>
          <w:sz w:val="23"/>
          <w:szCs w:val="23"/>
        </w:rPr>
        <w:t>approved by the Commission as part of the 2017 ASR settlement in Docket No. 36989.</w:t>
      </w:r>
    </w:p>
    <w:p w:rsidR="00F12882" w:rsidRDefault="00F12882" w:rsidP="00713485">
      <w:pPr>
        <w:jc w:val="both"/>
        <w:rPr>
          <w:sz w:val="23"/>
          <w:szCs w:val="23"/>
          <w:u w:val="single"/>
        </w:rPr>
      </w:pPr>
    </w:p>
    <w:p w:rsidR="00351A88" w:rsidRPr="009E2E59" w:rsidRDefault="00351A88" w:rsidP="00713485">
      <w:pPr>
        <w:jc w:val="both"/>
        <w:rPr>
          <w:sz w:val="23"/>
          <w:szCs w:val="23"/>
          <w:u w:val="single"/>
        </w:rPr>
      </w:pPr>
      <w:r w:rsidRPr="009E2E59">
        <w:rPr>
          <w:sz w:val="23"/>
          <w:szCs w:val="23"/>
          <w:u w:val="single"/>
        </w:rPr>
        <w:t>FOOTNOTE A</w:t>
      </w:r>
      <w:r w:rsidR="00771562" w:rsidRPr="009E2E59">
        <w:rPr>
          <w:sz w:val="23"/>
          <w:szCs w:val="23"/>
          <w:u w:val="single"/>
        </w:rPr>
        <w:t>U</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(6,</w:t>
      </w:r>
      <w:r w:rsidR="00717A46" w:rsidRPr="009E2E59">
        <w:rPr>
          <w:sz w:val="23"/>
          <w:szCs w:val="23"/>
          <w:u w:val="single"/>
        </w:rPr>
        <w:t>739</w:t>
      </w:r>
      <w:r w:rsidRPr="009E2E59">
        <w:rPr>
          <w:sz w:val="23"/>
          <w:szCs w:val="23"/>
          <w:u w:val="single"/>
        </w:rPr>
        <w:t>)</w:t>
      </w:r>
      <w:r w:rsidRPr="009E2E59">
        <w:rPr>
          <w:sz w:val="23"/>
          <w:szCs w:val="23"/>
        </w:rPr>
        <w:tab/>
        <w:t>OPRB Retiree Drug Subsidy Tax Regulatory Asset</w:t>
      </w:r>
    </w:p>
    <w:p w:rsidR="00351A88" w:rsidRPr="009E2E59" w:rsidRDefault="00351A88" w:rsidP="00713485">
      <w:pPr>
        <w:jc w:val="both"/>
        <w:rPr>
          <w:sz w:val="23"/>
          <w:szCs w:val="23"/>
        </w:rPr>
      </w:pPr>
    </w:p>
    <w:p w:rsidR="00351A88" w:rsidRPr="009E2E59" w:rsidRDefault="00351A88" w:rsidP="00713485">
      <w:pPr>
        <w:jc w:val="both"/>
        <w:rPr>
          <w:sz w:val="23"/>
          <w:szCs w:val="23"/>
        </w:rPr>
      </w:pPr>
      <w:r w:rsidRPr="009E2E59">
        <w:rPr>
          <w:sz w:val="23"/>
          <w:szCs w:val="23"/>
        </w:rPr>
        <w:t>Th</w:t>
      </w:r>
      <w:r w:rsidR="00C6482C">
        <w:rPr>
          <w:sz w:val="23"/>
          <w:szCs w:val="23"/>
        </w:rPr>
        <w:t>e</w:t>
      </w:r>
      <w:r w:rsidRPr="009E2E59">
        <w:rPr>
          <w:sz w:val="23"/>
          <w:szCs w:val="23"/>
        </w:rPr>
        <w:t xml:space="preserve"> decrease is due to the continued amortization of the </w:t>
      </w:r>
      <w:r w:rsidR="00C6482C">
        <w:rPr>
          <w:sz w:val="23"/>
          <w:szCs w:val="23"/>
        </w:rPr>
        <w:t xml:space="preserve">deferred tax costs from the March 2010 Healthcare Act, as approved by the Commission in Docket No. 31958.  </w:t>
      </w:r>
    </w:p>
    <w:p w:rsidR="006F1DB4" w:rsidRPr="009E2E59" w:rsidRDefault="006F1DB4" w:rsidP="00713485">
      <w:pPr>
        <w:jc w:val="both"/>
        <w:rPr>
          <w:sz w:val="23"/>
          <w:szCs w:val="23"/>
          <w:u w:val="single"/>
        </w:rPr>
      </w:pPr>
    </w:p>
    <w:p w:rsidR="00717A46" w:rsidRPr="009E2E59" w:rsidRDefault="00717A46" w:rsidP="00713485">
      <w:pPr>
        <w:jc w:val="both"/>
        <w:rPr>
          <w:sz w:val="23"/>
          <w:szCs w:val="23"/>
        </w:rPr>
      </w:pPr>
      <w:r w:rsidRPr="009E2E59">
        <w:rPr>
          <w:sz w:val="23"/>
          <w:szCs w:val="23"/>
          <w:u w:val="single"/>
        </w:rPr>
        <w:t xml:space="preserve">FOOTNOTE </w:t>
      </w:r>
      <w:r w:rsidR="002109C8" w:rsidRPr="009E2E59">
        <w:rPr>
          <w:sz w:val="23"/>
          <w:szCs w:val="23"/>
          <w:u w:val="single"/>
        </w:rPr>
        <w:t>A</w:t>
      </w:r>
      <w:r w:rsidR="004E4B73" w:rsidRPr="009E2E59">
        <w:rPr>
          <w:sz w:val="23"/>
          <w:szCs w:val="23"/>
          <w:u w:val="single"/>
        </w:rPr>
        <w:t>V</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$ 5,093</w:t>
      </w:r>
      <w:r w:rsidRPr="009E2E59">
        <w:rPr>
          <w:sz w:val="23"/>
          <w:szCs w:val="23"/>
        </w:rPr>
        <w:tab/>
      </w:r>
      <w:r w:rsidRPr="009E2E59">
        <w:rPr>
          <w:sz w:val="23"/>
          <w:szCs w:val="23"/>
        </w:rPr>
        <w:tab/>
        <w:t>Deferred Nuclear Outage Costs</w:t>
      </w:r>
    </w:p>
    <w:p w:rsidR="00717A46" w:rsidRPr="009E2E59" w:rsidRDefault="00717A46" w:rsidP="00713485">
      <w:pPr>
        <w:jc w:val="both"/>
        <w:rPr>
          <w:sz w:val="23"/>
          <w:szCs w:val="23"/>
        </w:rPr>
      </w:pPr>
    </w:p>
    <w:p w:rsidR="00717A46" w:rsidRPr="009E2E59" w:rsidRDefault="00717A46" w:rsidP="00713485">
      <w:pPr>
        <w:pStyle w:val="BodyText2"/>
        <w:jc w:val="both"/>
        <w:rPr>
          <w:sz w:val="23"/>
          <w:szCs w:val="23"/>
        </w:rPr>
      </w:pPr>
      <w:r w:rsidRPr="009E2E59">
        <w:rPr>
          <w:sz w:val="23"/>
          <w:szCs w:val="23"/>
        </w:rPr>
        <w:t xml:space="preserve">The increase is due to normal deferral and amortization of </w:t>
      </w:r>
      <w:r w:rsidR="00C6482C">
        <w:rPr>
          <w:sz w:val="23"/>
          <w:szCs w:val="23"/>
        </w:rPr>
        <w:t xml:space="preserve">nuclear </w:t>
      </w:r>
      <w:r w:rsidRPr="009E2E59">
        <w:rPr>
          <w:sz w:val="23"/>
          <w:szCs w:val="23"/>
        </w:rPr>
        <w:t>outage costs</w:t>
      </w:r>
      <w:r w:rsidR="00C6482C">
        <w:rPr>
          <w:sz w:val="23"/>
          <w:szCs w:val="23"/>
        </w:rPr>
        <w:t xml:space="preserve"> based on the outage cycles</w:t>
      </w:r>
      <w:r w:rsidRPr="009E2E59">
        <w:rPr>
          <w:sz w:val="23"/>
          <w:szCs w:val="23"/>
        </w:rPr>
        <w:t xml:space="preserve">, in accordance with the </w:t>
      </w:r>
      <w:r w:rsidR="00C6482C">
        <w:rPr>
          <w:sz w:val="23"/>
          <w:szCs w:val="23"/>
        </w:rPr>
        <w:t>methodology</w:t>
      </w:r>
      <w:r w:rsidRPr="009E2E59">
        <w:rPr>
          <w:sz w:val="23"/>
          <w:szCs w:val="23"/>
        </w:rPr>
        <w:t xml:space="preserve"> outlined in the Accounting Order </w:t>
      </w:r>
      <w:r w:rsidR="00C6482C">
        <w:rPr>
          <w:sz w:val="23"/>
          <w:szCs w:val="23"/>
        </w:rPr>
        <w:t>approved</w:t>
      </w:r>
      <w:r w:rsidRPr="009E2E59">
        <w:rPr>
          <w:sz w:val="23"/>
          <w:szCs w:val="23"/>
        </w:rPr>
        <w:t xml:space="preserve"> in Docket </w:t>
      </w:r>
      <w:r w:rsidR="00C6482C">
        <w:rPr>
          <w:sz w:val="23"/>
          <w:szCs w:val="23"/>
        </w:rPr>
        <w:t xml:space="preserve">No. </w:t>
      </w:r>
      <w:r w:rsidRPr="009E2E59">
        <w:rPr>
          <w:sz w:val="23"/>
          <w:szCs w:val="23"/>
        </w:rPr>
        <w:t xml:space="preserve">4007. </w:t>
      </w:r>
    </w:p>
    <w:p w:rsidR="000A4706" w:rsidRPr="009E2E59" w:rsidRDefault="000A4706" w:rsidP="00713485">
      <w:pPr>
        <w:jc w:val="both"/>
        <w:rPr>
          <w:sz w:val="23"/>
          <w:szCs w:val="23"/>
        </w:rPr>
      </w:pPr>
    </w:p>
    <w:p w:rsidR="000A4706" w:rsidRPr="009E2E59" w:rsidRDefault="000A4706" w:rsidP="00713485">
      <w:pPr>
        <w:jc w:val="both"/>
        <w:rPr>
          <w:sz w:val="23"/>
          <w:szCs w:val="23"/>
        </w:rPr>
      </w:pPr>
      <w:r w:rsidRPr="009E2E59">
        <w:rPr>
          <w:sz w:val="23"/>
          <w:szCs w:val="23"/>
          <w:u w:val="single"/>
        </w:rPr>
        <w:t xml:space="preserve">FOOTNOTE </w:t>
      </w:r>
      <w:r w:rsidR="002109C8" w:rsidRPr="009E2E59">
        <w:rPr>
          <w:sz w:val="23"/>
          <w:szCs w:val="23"/>
          <w:u w:val="single"/>
        </w:rPr>
        <w:t>A</w:t>
      </w:r>
      <w:r w:rsidR="004E4B73" w:rsidRPr="009E2E59">
        <w:rPr>
          <w:sz w:val="23"/>
          <w:szCs w:val="23"/>
          <w:u w:val="single"/>
        </w:rPr>
        <w:t>W</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F12882">
        <w:rPr>
          <w:sz w:val="23"/>
          <w:szCs w:val="23"/>
          <w:u w:val="single"/>
        </w:rPr>
        <w:t>8,790</w:t>
      </w:r>
      <w:r w:rsidR="00F12882">
        <w:rPr>
          <w:sz w:val="23"/>
          <w:szCs w:val="23"/>
          <w:u w:val="single"/>
        </w:rPr>
        <w:tab/>
      </w:r>
      <w:r w:rsidRPr="009E2E59">
        <w:rPr>
          <w:sz w:val="23"/>
          <w:szCs w:val="23"/>
        </w:rPr>
        <w:tab/>
      </w:r>
      <w:r w:rsidR="00717A46" w:rsidRPr="009E2E59">
        <w:rPr>
          <w:sz w:val="23"/>
          <w:szCs w:val="23"/>
        </w:rPr>
        <w:t>Tax Reform</w:t>
      </w:r>
      <w:r w:rsidRPr="009E2E59">
        <w:rPr>
          <w:sz w:val="23"/>
          <w:szCs w:val="23"/>
        </w:rPr>
        <w:t xml:space="preserve"> Regulatory Liability</w:t>
      </w:r>
    </w:p>
    <w:p w:rsidR="000A4706" w:rsidRPr="009E2E59" w:rsidRDefault="000A4706" w:rsidP="00713485">
      <w:pPr>
        <w:jc w:val="both"/>
        <w:rPr>
          <w:sz w:val="23"/>
          <w:szCs w:val="23"/>
        </w:rPr>
      </w:pPr>
    </w:p>
    <w:p w:rsidR="008B68EE" w:rsidRDefault="00F41F96" w:rsidP="00713485">
      <w:pPr>
        <w:jc w:val="both"/>
        <w:rPr>
          <w:sz w:val="23"/>
          <w:szCs w:val="23"/>
          <w:u w:val="single"/>
        </w:rPr>
      </w:pPr>
      <w:r w:rsidRPr="009E2E59">
        <w:rPr>
          <w:sz w:val="23"/>
          <w:szCs w:val="23"/>
        </w:rPr>
        <w:t>Th</w:t>
      </w:r>
      <w:r w:rsidR="00C6482C">
        <w:rPr>
          <w:sz w:val="23"/>
          <w:szCs w:val="23"/>
        </w:rPr>
        <w:t>e</w:t>
      </w:r>
      <w:r w:rsidRPr="009E2E59">
        <w:rPr>
          <w:sz w:val="23"/>
          <w:szCs w:val="23"/>
        </w:rPr>
        <w:t xml:space="preserve"> decrease is due </w:t>
      </w:r>
      <w:r w:rsidR="00C6482C">
        <w:rPr>
          <w:sz w:val="23"/>
          <w:szCs w:val="23"/>
        </w:rPr>
        <w:t xml:space="preserve">to the proposed 3-year amortization of the unprotected excess ADITs previously generated by the remeasurement of federal deferred income taxes from the </w:t>
      </w:r>
      <w:r w:rsidR="00A6447F">
        <w:rPr>
          <w:sz w:val="23"/>
          <w:szCs w:val="23"/>
        </w:rPr>
        <w:t>Tax Reform Act</w:t>
      </w:r>
      <w:r w:rsidR="00C6482C">
        <w:rPr>
          <w:sz w:val="23"/>
          <w:szCs w:val="23"/>
        </w:rPr>
        <w:t xml:space="preserve">.  </w:t>
      </w:r>
    </w:p>
    <w:p w:rsidR="008B68EE" w:rsidRDefault="008B68EE" w:rsidP="00713485">
      <w:pPr>
        <w:jc w:val="both"/>
        <w:rPr>
          <w:sz w:val="23"/>
          <w:szCs w:val="23"/>
          <w:u w:val="single"/>
        </w:rPr>
      </w:pPr>
    </w:p>
    <w:p w:rsidR="00A13D17" w:rsidRPr="008B68EE" w:rsidRDefault="00A13D17" w:rsidP="00713485">
      <w:pPr>
        <w:jc w:val="both"/>
        <w:rPr>
          <w:sz w:val="23"/>
          <w:szCs w:val="23"/>
        </w:rPr>
      </w:pPr>
      <w:r w:rsidRPr="009E2E59">
        <w:rPr>
          <w:sz w:val="23"/>
          <w:szCs w:val="23"/>
          <w:u w:val="single"/>
        </w:rPr>
        <w:t xml:space="preserve">FOOTNOTE </w:t>
      </w:r>
      <w:r w:rsidR="004E4B73" w:rsidRPr="009E2E59">
        <w:rPr>
          <w:sz w:val="23"/>
          <w:szCs w:val="23"/>
          <w:u w:val="single"/>
        </w:rPr>
        <w:t>AX</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326544" w:rsidRPr="009E2E59">
        <w:rPr>
          <w:sz w:val="23"/>
          <w:szCs w:val="23"/>
          <w:u w:val="single"/>
        </w:rPr>
        <w:t>(1,</w:t>
      </w:r>
      <w:r w:rsidR="008864BC" w:rsidRPr="009E2E59">
        <w:rPr>
          <w:sz w:val="23"/>
          <w:szCs w:val="23"/>
          <w:u w:val="single"/>
        </w:rPr>
        <w:t>424,285</w:t>
      </w:r>
      <w:r w:rsidR="00326544" w:rsidRPr="009E2E59">
        <w:rPr>
          <w:sz w:val="23"/>
          <w:szCs w:val="23"/>
          <w:u w:val="single"/>
        </w:rPr>
        <w:t>)</w:t>
      </w:r>
      <w:r w:rsidRPr="009E2E59">
        <w:rPr>
          <w:sz w:val="23"/>
          <w:szCs w:val="23"/>
        </w:rPr>
        <w:tab/>
        <w:t xml:space="preserve">Asset Retirement Obligation (182 </w:t>
      </w:r>
      <w:r w:rsidR="00247767" w:rsidRPr="009E2E59">
        <w:rPr>
          <w:sz w:val="23"/>
          <w:szCs w:val="23"/>
        </w:rPr>
        <w:t xml:space="preserve">&amp; </w:t>
      </w:r>
      <w:r w:rsidRPr="009E2E59">
        <w:rPr>
          <w:sz w:val="23"/>
          <w:szCs w:val="23"/>
        </w:rPr>
        <w:t>230)</w:t>
      </w:r>
    </w:p>
    <w:p w:rsidR="00A13D17" w:rsidRPr="009E2E59" w:rsidRDefault="00A13D17" w:rsidP="00713485">
      <w:pPr>
        <w:jc w:val="both"/>
        <w:rPr>
          <w:sz w:val="23"/>
          <w:szCs w:val="23"/>
        </w:rPr>
      </w:pPr>
    </w:p>
    <w:p w:rsidR="00A13D17" w:rsidRPr="009E2E59" w:rsidRDefault="00EC0BB5" w:rsidP="00713485">
      <w:pPr>
        <w:jc w:val="both"/>
        <w:rPr>
          <w:sz w:val="23"/>
          <w:szCs w:val="23"/>
        </w:rPr>
      </w:pPr>
      <w:r w:rsidRPr="009E2E59">
        <w:rPr>
          <w:sz w:val="23"/>
          <w:szCs w:val="23"/>
        </w:rPr>
        <w:t xml:space="preserve">The increase is primarily due to increases in </w:t>
      </w:r>
      <w:r w:rsidR="00C6482C">
        <w:rPr>
          <w:sz w:val="23"/>
          <w:szCs w:val="23"/>
        </w:rPr>
        <w:t xml:space="preserve">expected future ARO </w:t>
      </w:r>
      <w:r w:rsidR="00D21F4B">
        <w:rPr>
          <w:sz w:val="23"/>
          <w:szCs w:val="23"/>
        </w:rPr>
        <w:t xml:space="preserve">compliance </w:t>
      </w:r>
      <w:r w:rsidR="00C6482C">
        <w:rPr>
          <w:sz w:val="23"/>
          <w:szCs w:val="23"/>
        </w:rPr>
        <w:t>expenditures related to the Coal Combustion Residual</w:t>
      </w:r>
      <w:r w:rsidR="00A6447F">
        <w:rPr>
          <w:sz w:val="23"/>
          <w:szCs w:val="23"/>
        </w:rPr>
        <w:t xml:space="preserve"> (CCR)</w:t>
      </w:r>
      <w:r w:rsidR="00C6482C">
        <w:rPr>
          <w:sz w:val="23"/>
          <w:szCs w:val="23"/>
        </w:rPr>
        <w:t xml:space="preserve"> rule; ARO balances in assets and liabilities in accounts 182 and 230 have no impact to retail rate base as shown in Exhibit</w:t>
      </w:r>
      <w:r w:rsidR="0084716A">
        <w:rPr>
          <w:sz w:val="23"/>
          <w:szCs w:val="23"/>
        </w:rPr>
        <w:t xml:space="preserve">___(DPP/SPA/MBR-4, Schedule 5).  </w:t>
      </w:r>
    </w:p>
    <w:p w:rsidR="008B68EE" w:rsidRDefault="008B68EE" w:rsidP="00713485">
      <w:pPr>
        <w:jc w:val="both"/>
        <w:rPr>
          <w:sz w:val="23"/>
          <w:szCs w:val="23"/>
          <w:u w:val="single"/>
          <w:lang w:val="fr-FR"/>
        </w:rPr>
      </w:pPr>
    </w:p>
    <w:p w:rsidR="00A13D17" w:rsidRPr="009E2E59" w:rsidRDefault="00A13D17" w:rsidP="00713485">
      <w:pPr>
        <w:jc w:val="both"/>
        <w:rPr>
          <w:sz w:val="23"/>
          <w:szCs w:val="23"/>
          <w:lang w:val="fr-FR"/>
        </w:rPr>
      </w:pPr>
      <w:bookmarkStart w:id="24" w:name="_Hlk11077895"/>
      <w:r w:rsidRPr="009E2E59">
        <w:rPr>
          <w:sz w:val="23"/>
          <w:szCs w:val="23"/>
          <w:u w:val="single"/>
          <w:lang w:val="fr-FR"/>
        </w:rPr>
        <w:t xml:space="preserve">FOOTNOTE </w:t>
      </w:r>
      <w:r w:rsidR="004E4B73" w:rsidRPr="009E2E59">
        <w:rPr>
          <w:sz w:val="23"/>
          <w:szCs w:val="23"/>
          <w:u w:val="single"/>
          <w:lang w:val="fr-FR"/>
        </w:rPr>
        <w:t>AY</w:t>
      </w:r>
      <w:r w:rsidRPr="009E2E59">
        <w:rPr>
          <w:sz w:val="23"/>
          <w:szCs w:val="23"/>
          <w:u w:val="single"/>
          <w:lang w:val="fr-FR"/>
        </w:rPr>
        <w:t>/</w:t>
      </w:r>
      <w:r w:rsidRPr="009E2E59">
        <w:rPr>
          <w:sz w:val="23"/>
          <w:szCs w:val="23"/>
          <w:lang w:val="fr-FR"/>
        </w:rPr>
        <w:t xml:space="preserve">  </w:t>
      </w:r>
      <w:r w:rsidRPr="009E2E59">
        <w:rPr>
          <w:sz w:val="23"/>
          <w:szCs w:val="23"/>
          <w:lang w:val="fr-FR"/>
        </w:rPr>
        <w:tab/>
      </w:r>
      <w:r w:rsidRPr="009E2E59">
        <w:rPr>
          <w:sz w:val="23"/>
          <w:szCs w:val="23"/>
          <w:u w:val="single"/>
          <w:lang w:val="fr-FR"/>
        </w:rPr>
        <w:t>$ (7</w:t>
      </w:r>
      <w:r w:rsidR="0059798A">
        <w:rPr>
          <w:sz w:val="23"/>
          <w:szCs w:val="23"/>
          <w:u w:val="single"/>
          <w:lang w:val="fr-FR"/>
        </w:rPr>
        <w:t>13,760</w:t>
      </w:r>
      <w:r w:rsidRPr="009E2E59">
        <w:rPr>
          <w:sz w:val="23"/>
          <w:szCs w:val="23"/>
          <w:u w:val="single"/>
          <w:lang w:val="fr-FR"/>
        </w:rPr>
        <w:t>)</w:t>
      </w:r>
      <w:r w:rsidRPr="009E2E59">
        <w:rPr>
          <w:sz w:val="23"/>
          <w:szCs w:val="23"/>
          <w:lang w:val="fr-FR"/>
        </w:rPr>
        <w:tab/>
        <w:t>Asset Retirement Obligation (254)</w:t>
      </w:r>
      <w:r w:rsidR="00EC0BB5" w:rsidRPr="009E2E59">
        <w:rPr>
          <w:sz w:val="23"/>
          <w:szCs w:val="23"/>
          <w:lang w:val="fr-FR"/>
        </w:rPr>
        <w:t xml:space="preserve"> </w:t>
      </w:r>
    </w:p>
    <w:p w:rsidR="00A13D17" w:rsidRPr="009E2E59" w:rsidRDefault="00A13D17" w:rsidP="00713485">
      <w:pPr>
        <w:jc w:val="both"/>
        <w:rPr>
          <w:sz w:val="23"/>
          <w:szCs w:val="23"/>
          <w:lang w:val="fr-FR"/>
        </w:rPr>
      </w:pPr>
    </w:p>
    <w:p w:rsidR="00EC0BB5" w:rsidRPr="00FA52FD" w:rsidRDefault="00A13D17" w:rsidP="00713485">
      <w:pPr>
        <w:jc w:val="both"/>
        <w:rPr>
          <w:color w:val="FF0000"/>
          <w:sz w:val="23"/>
          <w:szCs w:val="23"/>
        </w:rPr>
      </w:pPr>
      <w:r w:rsidRPr="009E2E59">
        <w:rPr>
          <w:sz w:val="23"/>
          <w:szCs w:val="23"/>
        </w:rPr>
        <w:t>Th</w:t>
      </w:r>
      <w:r w:rsidR="00FA52FD">
        <w:rPr>
          <w:sz w:val="23"/>
          <w:szCs w:val="23"/>
        </w:rPr>
        <w:t>e</w:t>
      </w:r>
      <w:r w:rsidRPr="009E2E59">
        <w:rPr>
          <w:sz w:val="23"/>
          <w:szCs w:val="23"/>
        </w:rPr>
        <w:t xml:space="preserve"> increase </w:t>
      </w:r>
      <w:r w:rsidR="00931D9B" w:rsidRPr="009E2E59">
        <w:rPr>
          <w:sz w:val="23"/>
          <w:szCs w:val="23"/>
        </w:rPr>
        <w:t xml:space="preserve">primarily reflects </w:t>
      </w:r>
      <w:r w:rsidRPr="009E2E59">
        <w:rPr>
          <w:sz w:val="23"/>
          <w:szCs w:val="23"/>
        </w:rPr>
        <w:t xml:space="preserve">the impact of </w:t>
      </w:r>
      <w:r w:rsidR="00931D9B" w:rsidRPr="009E2E59">
        <w:rPr>
          <w:sz w:val="23"/>
          <w:szCs w:val="23"/>
        </w:rPr>
        <w:t xml:space="preserve">FOOTNOTE </w:t>
      </w:r>
      <w:r w:rsidR="00FA52FD">
        <w:rPr>
          <w:sz w:val="23"/>
          <w:szCs w:val="23"/>
        </w:rPr>
        <w:t>L</w:t>
      </w:r>
      <w:r w:rsidR="00931D9B" w:rsidRPr="009E2E59">
        <w:rPr>
          <w:sz w:val="23"/>
          <w:szCs w:val="23"/>
        </w:rPr>
        <w:t>/</w:t>
      </w:r>
      <w:r w:rsidR="003F4919">
        <w:rPr>
          <w:sz w:val="23"/>
          <w:szCs w:val="23"/>
        </w:rPr>
        <w:t xml:space="preserve">, which removes the ARO liability for nuclear decommissioning funded by an external trust.  The increase is offset by the projected CCR ARO </w:t>
      </w:r>
      <w:r w:rsidR="00D21F4B">
        <w:rPr>
          <w:sz w:val="23"/>
          <w:szCs w:val="23"/>
        </w:rPr>
        <w:t xml:space="preserve">compliance </w:t>
      </w:r>
      <w:r w:rsidR="003F4919">
        <w:rPr>
          <w:sz w:val="23"/>
          <w:szCs w:val="23"/>
        </w:rPr>
        <w:t>settlement cost outpacing recovery of those costs.</w:t>
      </w:r>
    </w:p>
    <w:bookmarkEnd w:id="24"/>
    <w:p w:rsidR="00F41F96" w:rsidRPr="00F41F96" w:rsidRDefault="00F41F96" w:rsidP="00713485">
      <w:pPr>
        <w:jc w:val="both"/>
        <w:rPr>
          <w:sz w:val="23"/>
          <w:szCs w:val="23"/>
        </w:rPr>
      </w:pPr>
    </w:p>
    <w:p w:rsidR="003A563C" w:rsidRPr="009E2E59" w:rsidRDefault="003A563C" w:rsidP="00713485">
      <w:pPr>
        <w:jc w:val="both"/>
        <w:rPr>
          <w:sz w:val="23"/>
          <w:szCs w:val="23"/>
        </w:rPr>
      </w:pPr>
      <w:bookmarkStart w:id="25" w:name="_Hlk10807409"/>
      <w:r w:rsidRPr="009E2E59">
        <w:rPr>
          <w:sz w:val="23"/>
          <w:szCs w:val="23"/>
          <w:u w:val="single"/>
        </w:rPr>
        <w:t xml:space="preserve">FOOTNOTE </w:t>
      </w:r>
      <w:r w:rsidR="004E4B73" w:rsidRPr="009E2E59">
        <w:rPr>
          <w:sz w:val="23"/>
          <w:szCs w:val="23"/>
          <w:u w:val="single"/>
        </w:rPr>
        <w:t>AZ</w:t>
      </w:r>
      <w:r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A13D17" w:rsidRPr="009E2E59">
        <w:rPr>
          <w:sz w:val="23"/>
          <w:szCs w:val="23"/>
          <w:u w:val="single"/>
        </w:rPr>
        <w:t>87,</w:t>
      </w:r>
      <w:r w:rsidR="00326544" w:rsidRPr="009E2E59">
        <w:rPr>
          <w:sz w:val="23"/>
          <w:szCs w:val="23"/>
          <w:u w:val="single"/>
        </w:rPr>
        <w:t>638</w:t>
      </w:r>
      <w:r w:rsidRPr="009E2E59">
        <w:rPr>
          <w:sz w:val="23"/>
          <w:szCs w:val="23"/>
        </w:rPr>
        <w:t xml:space="preserve"> </w:t>
      </w:r>
      <w:r w:rsidRPr="009E2E59">
        <w:rPr>
          <w:sz w:val="23"/>
          <w:szCs w:val="23"/>
        </w:rPr>
        <w:tab/>
        <w:t>Accumulated Deferred Income Taxes -</w:t>
      </w:r>
    </w:p>
    <w:p w:rsidR="003A563C" w:rsidRPr="009E2E59" w:rsidRDefault="003A563C" w:rsidP="00713485">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Accelerated Amortization - Account 281</w:t>
      </w:r>
    </w:p>
    <w:p w:rsidR="003A563C" w:rsidRPr="009E2E59" w:rsidRDefault="003A563C" w:rsidP="00713485">
      <w:pPr>
        <w:jc w:val="both"/>
        <w:rPr>
          <w:sz w:val="23"/>
          <w:szCs w:val="23"/>
        </w:rPr>
      </w:pPr>
    </w:p>
    <w:p w:rsidR="00E00D49" w:rsidRPr="00FA52FD" w:rsidRDefault="00FA52FD" w:rsidP="00713485">
      <w:pPr>
        <w:jc w:val="both"/>
        <w:rPr>
          <w:sz w:val="23"/>
          <w:szCs w:val="23"/>
        </w:rPr>
      </w:pPr>
      <w:r>
        <w:rPr>
          <w:sz w:val="23"/>
          <w:szCs w:val="23"/>
        </w:rPr>
        <w:t xml:space="preserve">The decrease is primarily due to proposed decertification of units in Docket No. 42310. </w:t>
      </w:r>
    </w:p>
    <w:bookmarkEnd w:id="25"/>
    <w:p w:rsidR="00825FBE" w:rsidRDefault="00825FBE" w:rsidP="00713485">
      <w:pPr>
        <w:jc w:val="both"/>
        <w:rPr>
          <w:sz w:val="23"/>
          <w:szCs w:val="23"/>
          <w:u w:val="single"/>
        </w:rPr>
      </w:pPr>
    </w:p>
    <w:p w:rsidR="003A563C" w:rsidRPr="009E2E59" w:rsidRDefault="003A563C" w:rsidP="00713485">
      <w:pPr>
        <w:jc w:val="both"/>
        <w:rPr>
          <w:sz w:val="23"/>
          <w:szCs w:val="23"/>
        </w:rPr>
      </w:pPr>
      <w:bookmarkStart w:id="26" w:name="_Hlk10807397"/>
      <w:r w:rsidRPr="009E2E59">
        <w:rPr>
          <w:sz w:val="23"/>
          <w:szCs w:val="23"/>
          <w:u w:val="single"/>
        </w:rPr>
        <w:t xml:space="preserve">FOOTNOTE </w:t>
      </w:r>
      <w:r w:rsidR="00A13D17" w:rsidRPr="009E2E59">
        <w:rPr>
          <w:sz w:val="23"/>
          <w:szCs w:val="23"/>
          <w:u w:val="single"/>
        </w:rPr>
        <w:t>B</w:t>
      </w:r>
      <w:r w:rsidR="004E4B73" w:rsidRPr="009E2E59">
        <w:rPr>
          <w:sz w:val="23"/>
          <w:szCs w:val="23"/>
          <w:u w:val="single"/>
        </w:rPr>
        <w:t>A</w:t>
      </w:r>
      <w:r w:rsidR="002109C8" w:rsidRPr="009E2E59">
        <w:rPr>
          <w:sz w:val="23"/>
          <w:szCs w:val="23"/>
          <w:u w:val="single"/>
        </w:rPr>
        <w:t>/</w:t>
      </w:r>
      <w:r w:rsidR="00031718" w:rsidRPr="009E2E59">
        <w:rPr>
          <w:sz w:val="23"/>
          <w:szCs w:val="23"/>
        </w:rPr>
        <w:tab/>
      </w:r>
      <w:r w:rsidRPr="009E2E59">
        <w:rPr>
          <w:sz w:val="23"/>
          <w:szCs w:val="23"/>
          <w:u w:val="single"/>
        </w:rPr>
        <w:t>$</w:t>
      </w:r>
      <w:r w:rsidR="002E695B" w:rsidRPr="009E2E59">
        <w:rPr>
          <w:sz w:val="23"/>
          <w:szCs w:val="23"/>
          <w:u w:val="single"/>
        </w:rPr>
        <w:t xml:space="preserve"> </w:t>
      </w:r>
      <w:r w:rsidR="0059798A">
        <w:rPr>
          <w:sz w:val="23"/>
          <w:szCs w:val="23"/>
          <w:u w:val="single"/>
        </w:rPr>
        <w:t>85,666</w:t>
      </w:r>
      <w:r w:rsidRPr="009E2E59">
        <w:rPr>
          <w:sz w:val="23"/>
          <w:szCs w:val="23"/>
        </w:rPr>
        <w:t xml:space="preserve"> </w:t>
      </w:r>
      <w:r w:rsidRPr="009E2E59">
        <w:rPr>
          <w:sz w:val="23"/>
          <w:szCs w:val="23"/>
        </w:rPr>
        <w:tab/>
        <w:t xml:space="preserve">Accumulated Deferred Income Taxes- </w:t>
      </w:r>
    </w:p>
    <w:p w:rsidR="003A563C" w:rsidRPr="009E2E59" w:rsidRDefault="003A563C" w:rsidP="00713485">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Other Property - Account 282</w:t>
      </w:r>
    </w:p>
    <w:p w:rsidR="00D4535C" w:rsidRPr="009E2E59" w:rsidRDefault="00D4535C" w:rsidP="00713485">
      <w:pPr>
        <w:jc w:val="both"/>
        <w:rPr>
          <w:sz w:val="23"/>
          <w:szCs w:val="23"/>
        </w:rPr>
      </w:pPr>
    </w:p>
    <w:p w:rsidR="00D4535C" w:rsidRPr="00437705" w:rsidRDefault="00F41F96" w:rsidP="00713485">
      <w:pPr>
        <w:jc w:val="both"/>
        <w:rPr>
          <w:sz w:val="23"/>
          <w:szCs w:val="23"/>
        </w:rPr>
      </w:pPr>
      <w:r w:rsidRPr="009E2E59">
        <w:rPr>
          <w:sz w:val="23"/>
          <w:szCs w:val="23"/>
        </w:rPr>
        <w:t>Th</w:t>
      </w:r>
      <w:r w:rsidR="00FA52FD">
        <w:rPr>
          <w:sz w:val="23"/>
          <w:szCs w:val="23"/>
        </w:rPr>
        <w:t>e</w:t>
      </w:r>
      <w:r w:rsidRPr="009E2E59">
        <w:rPr>
          <w:sz w:val="23"/>
          <w:szCs w:val="23"/>
        </w:rPr>
        <w:t xml:space="preserve"> decrease is primarily due to column adjustments </w:t>
      </w:r>
      <w:r w:rsidR="00437705">
        <w:rPr>
          <w:sz w:val="23"/>
          <w:szCs w:val="23"/>
        </w:rPr>
        <w:t>reflected in F</w:t>
      </w:r>
      <w:r w:rsidR="003F4919">
        <w:rPr>
          <w:sz w:val="23"/>
          <w:szCs w:val="23"/>
        </w:rPr>
        <w:t>OOTNOTE</w:t>
      </w:r>
      <w:r w:rsidR="00437705">
        <w:rPr>
          <w:sz w:val="23"/>
          <w:szCs w:val="23"/>
        </w:rPr>
        <w:t xml:space="preserve"> M/ </w:t>
      </w:r>
      <w:r w:rsidRPr="009E2E59">
        <w:rPr>
          <w:sz w:val="23"/>
          <w:szCs w:val="23"/>
        </w:rPr>
        <w:t xml:space="preserve">and </w:t>
      </w:r>
      <w:r w:rsidR="00437705">
        <w:rPr>
          <w:sz w:val="23"/>
          <w:szCs w:val="23"/>
        </w:rPr>
        <w:t>proposed decertification of units in Docket No. 42310, partially offset by increases in asset retirement obligations and basis differences</w:t>
      </w:r>
      <w:r w:rsidR="002E50C4">
        <w:rPr>
          <w:sz w:val="23"/>
          <w:szCs w:val="23"/>
        </w:rPr>
        <w:t>.</w:t>
      </w:r>
    </w:p>
    <w:p w:rsidR="00D1023A" w:rsidRDefault="00D1023A">
      <w:pPr>
        <w:rPr>
          <w:sz w:val="23"/>
          <w:szCs w:val="23"/>
          <w:u w:val="single"/>
        </w:rPr>
      </w:pPr>
      <w:bookmarkStart w:id="27" w:name="_Hlk10807417"/>
      <w:bookmarkEnd w:id="26"/>
      <w:r>
        <w:rPr>
          <w:sz w:val="23"/>
          <w:szCs w:val="23"/>
          <w:u w:val="single"/>
        </w:rPr>
        <w:br w:type="page"/>
      </w:r>
    </w:p>
    <w:p w:rsidR="003A563C" w:rsidRPr="009E2E59" w:rsidRDefault="003A563C" w:rsidP="00713485">
      <w:pPr>
        <w:jc w:val="both"/>
        <w:rPr>
          <w:sz w:val="23"/>
          <w:szCs w:val="23"/>
        </w:rPr>
      </w:pPr>
      <w:r w:rsidRPr="009E2E59">
        <w:rPr>
          <w:sz w:val="23"/>
          <w:szCs w:val="23"/>
          <w:u w:val="single"/>
        </w:rPr>
        <w:lastRenderedPageBreak/>
        <w:t xml:space="preserve">FOOTNOTE </w:t>
      </w:r>
      <w:r w:rsidR="00A13D17" w:rsidRPr="009E2E59">
        <w:rPr>
          <w:sz w:val="23"/>
          <w:szCs w:val="23"/>
          <w:u w:val="single"/>
        </w:rPr>
        <w:t>B</w:t>
      </w:r>
      <w:r w:rsidR="004E4B73" w:rsidRPr="009E2E59">
        <w:rPr>
          <w:sz w:val="23"/>
          <w:szCs w:val="23"/>
          <w:u w:val="single"/>
        </w:rPr>
        <w:t>B</w:t>
      </w:r>
      <w:r w:rsidR="002109C8" w:rsidRPr="009E2E59">
        <w:rPr>
          <w:sz w:val="23"/>
          <w:szCs w:val="23"/>
          <w:u w:val="single"/>
        </w:rPr>
        <w:t>/</w:t>
      </w:r>
      <w:r w:rsidR="00031718" w:rsidRPr="009E2E59">
        <w:rPr>
          <w:sz w:val="23"/>
          <w:szCs w:val="23"/>
        </w:rPr>
        <w:tab/>
      </w:r>
      <w:r w:rsidRPr="009E2E59">
        <w:rPr>
          <w:sz w:val="23"/>
          <w:szCs w:val="23"/>
          <w:u w:val="single"/>
        </w:rPr>
        <w:t xml:space="preserve">$ </w:t>
      </w:r>
      <w:r w:rsidR="00A13D17" w:rsidRPr="009E2E59">
        <w:rPr>
          <w:sz w:val="23"/>
          <w:szCs w:val="23"/>
          <w:u w:val="single"/>
        </w:rPr>
        <w:t>(</w:t>
      </w:r>
      <w:r w:rsidR="0031138D" w:rsidRPr="009E2E59">
        <w:rPr>
          <w:sz w:val="23"/>
          <w:szCs w:val="23"/>
          <w:u w:val="single"/>
        </w:rPr>
        <w:t>1</w:t>
      </w:r>
      <w:r w:rsidR="002109C8" w:rsidRPr="009E2E59">
        <w:rPr>
          <w:sz w:val="23"/>
          <w:szCs w:val="23"/>
          <w:u w:val="single"/>
        </w:rPr>
        <w:t>7</w:t>
      </w:r>
      <w:r w:rsidR="0059798A">
        <w:rPr>
          <w:sz w:val="23"/>
          <w:szCs w:val="23"/>
          <w:u w:val="single"/>
        </w:rPr>
        <w:t>5,560</w:t>
      </w:r>
      <w:r w:rsidR="00A13D17" w:rsidRPr="009E2E59">
        <w:rPr>
          <w:sz w:val="23"/>
          <w:szCs w:val="23"/>
          <w:u w:val="single"/>
        </w:rPr>
        <w:t>)</w:t>
      </w:r>
      <w:r w:rsidRPr="009E2E59">
        <w:rPr>
          <w:sz w:val="23"/>
          <w:szCs w:val="23"/>
        </w:rPr>
        <w:tab/>
        <w:t>Accumulated Deferred Income Taxes -</w:t>
      </w:r>
    </w:p>
    <w:p w:rsidR="003A563C" w:rsidRPr="009E2E59" w:rsidRDefault="003A563C" w:rsidP="00713485">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Other - Account 283</w:t>
      </w:r>
    </w:p>
    <w:p w:rsidR="003A563C" w:rsidRPr="009E2E59" w:rsidRDefault="003A563C" w:rsidP="00713485">
      <w:pPr>
        <w:jc w:val="both"/>
        <w:rPr>
          <w:sz w:val="23"/>
          <w:szCs w:val="23"/>
        </w:rPr>
      </w:pPr>
    </w:p>
    <w:p w:rsidR="00061C8B" w:rsidRPr="009E2E59" w:rsidRDefault="00F41F96" w:rsidP="00713485">
      <w:pPr>
        <w:jc w:val="both"/>
        <w:rPr>
          <w:sz w:val="23"/>
          <w:szCs w:val="23"/>
        </w:rPr>
      </w:pPr>
      <w:r w:rsidRPr="009E2E59">
        <w:rPr>
          <w:sz w:val="23"/>
          <w:szCs w:val="23"/>
        </w:rPr>
        <w:t>Th</w:t>
      </w:r>
      <w:r w:rsidR="00FA52FD">
        <w:rPr>
          <w:sz w:val="23"/>
          <w:szCs w:val="23"/>
        </w:rPr>
        <w:t>e</w:t>
      </w:r>
      <w:r w:rsidRPr="009E2E59">
        <w:rPr>
          <w:sz w:val="23"/>
          <w:szCs w:val="23"/>
        </w:rPr>
        <w:t xml:space="preserve"> increase </w:t>
      </w:r>
      <w:r w:rsidR="00FA52FD">
        <w:rPr>
          <w:sz w:val="23"/>
          <w:szCs w:val="23"/>
        </w:rPr>
        <w:t xml:space="preserve">is primarily due to the reclassification of net book values to regulatory assets for the proposed decertification of units in Docket No. 42310.  </w:t>
      </w:r>
    </w:p>
    <w:bookmarkEnd w:id="27"/>
    <w:p w:rsidR="00061C8B" w:rsidRPr="009E2E59" w:rsidRDefault="00061C8B" w:rsidP="00713485">
      <w:pPr>
        <w:jc w:val="both"/>
        <w:rPr>
          <w:sz w:val="23"/>
          <w:szCs w:val="23"/>
        </w:rPr>
      </w:pPr>
    </w:p>
    <w:p w:rsidR="003A563C" w:rsidRPr="009E2E59" w:rsidRDefault="003A563C" w:rsidP="00713485">
      <w:pPr>
        <w:jc w:val="both"/>
        <w:rPr>
          <w:sz w:val="23"/>
          <w:szCs w:val="23"/>
        </w:rPr>
      </w:pPr>
      <w:bookmarkStart w:id="28" w:name="_Hlk10807593"/>
      <w:r w:rsidRPr="009E2E59">
        <w:rPr>
          <w:sz w:val="23"/>
          <w:szCs w:val="23"/>
          <w:u w:val="single"/>
        </w:rPr>
        <w:t xml:space="preserve">FOOTNOTE </w:t>
      </w:r>
      <w:r w:rsidR="00A13D17" w:rsidRPr="009E2E59">
        <w:rPr>
          <w:sz w:val="23"/>
          <w:szCs w:val="23"/>
          <w:u w:val="single"/>
        </w:rPr>
        <w:t>B</w:t>
      </w:r>
      <w:r w:rsidR="004E4B73" w:rsidRPr="009E2E59">
        <w:rPr>
          <w:sz w:val="23"/>
          <w:szCs w:val="23"/>
          <w:u w:val="single"/>
        </w:rPr>
        <w:t>C</w:t>
      </w:r>
      <w:r w:rsidR="002109C8" w:rsidRPr="009E2E59">
        <w:rPr>
          <w:sz w:val="23"/>
          <w:szCs w:val="23"/>
          <w:u w:val="single"/>
        </w:rPr>
        <w:t>/</w:t>
      </w:r>
      <w:r w:rsidRPr="009E2E59">
        <w:rPr>
          <w:sz w:val="23"/>
          <w:szCs w:val="23"/>
        </w:rPr>
        <w:t xml:space="preserve">  </w:t>
      </w:r>
      <w:r w:rsidRPr="009E2E59">
        <w:rPr>
          <w:sz w:val="23"/>
          <w:szCs w:val="23"/>
        </w:rPr>
        <w:tab/>
      </w:r>
      <w:r w:rsidRPr="009E2E59">
        <w:rPr>
          <w:sz w:val="23"/>
          <w:szCs w:val="23"/>
          <w:u w:val="single"/>
        </w:rPr>
        <w:t xml:space="preserve">$ </w:t>
      </w:r>
      <w:r w:rsidR="00825FBE">
        <w:rPr>
          <w:sz w:val="23"/>
          <w:szCs w:val="23"/>
          <w:u w:val="single"/>
        </w:rPr>
        <w:t>4</w:t>
      </w:r>
      <w:r w:rsidR="0059798A">
        <w:rPr>
          <w:sz w:val="23"/>
          <w:szCs w:val="23"/>
          <w:u w:val="single"/>
        </w:rPr>
        <w:t>9,255</w:t>
      </w:r>
      <w:r w:rsidRPr="009E2E59">
        <w:rPr>
          <w:sz w:val="23"/>
          <w:szCs w:val="23"/>
        </w:rPr>
        <w:t xml:space="preserve"> </w:t>
      </w:r>
      <w:r w:rsidRPr="009E2E59">
        <w:rPr>
          <w:sz w:val="23"/>
          <w:szCs w:val="23"/>
        </w:rPr>
        <w:tab/>
        <w:t>Accumulated Deferred Income Taxes -</w:t>
      </w:r>
    </w:p>
    <w:p w:rsidR="003A563C" w:rsidRPr="009E2E59" w:rsidRDefault="003A563C" w:rsidP="00713485">
      <w:pPr>
        <w:jc w:val="both"/>
        <w:rPr>
          <w:sz w:val="23"/>
          <w:szCs w:val="23"/>
        </w:rPr>
      </w:pPr>
      <w:r w:rsidRPr="009E2E59">
        <w:rPr>
          <w:sz w:val="23"/>
          <w:szCs w:val="23"/>
        </w:rPr>
        <w:tab/>
      </w:r>
      <w:r w:rsidRPr="009E2E59">
        <w:rPr>
          <w:sz w:val="23"/>
          <w:szCs w:val="23"/>
        </w:rPr>
        <w:tab/>
      </w:r>
      <w:r w:rsidRPr="009E2E59">
        <w:rPr>
          <w:sz w:val="23"/>
          <w:szCs w:val="23"/>
        </w:rPr>
        <w:tab/>
      </w:r>
      <w:r w:rsidRPr="009E2E59">
        <w:rPr>
          <w:sz w:val="23"/>
          <w:szCs w:val="23"/>
        </w:rPr>
        <w:tab/>
      </w:r>
      <w:r w:rsidRPr="009E2E59">
        <w:rPr>
          <w:sz w:val="23"/>
          <w:szCs w:val="23"/>
        </w:rPr>
        <w:tab/>
        <w:t>Prepaid - Account 190</w:t>
      </w:r>
    </w:p>
    <w:p w:rsidR="003A563C" w:rsidRPr="009E2E59" w:rsidRDefault="003A563C" w:rsidP="00713485">
      <w:pPr>
        <w:jc w:val="both"/>
        <w:rPr>
          <w:sz w:val="23"/>
          <w:szCs w:val="23"/>
        </w:rPr>
      </w:pPr>
    </w:p>
    <w:p w:rsidR="003A563C" w:rsidRPr="00E47543" w:rsidRDefault="00F41F96" w:rsidP="00713485">
      <w:pPr>
        <w:jc w:val="both"/>
        <w:rPr>
          <w:sz w:val="23"/>
          <w:szCs w:val="23"/>
        </w:rPr>
      </w:pPr>
      <w:r w:rsidRPr="009E2E59">
        <w:rPr>
          <w:sz w:val="23"/>
          <w:szCs w:val="23"/>
        </w:rPr>
        <w:t>Th</w:t>
      </w:r>
      <w:r w:rsidR="00FA52FD">
        <w:rPr>
          <w:sz w:val="23"/>
          <w:szCs w:val="23"/>
        </w:rPr>
        <w:t>e</w:t>
      </w:r>
      <w:r w:rsidRPr="009E2E59">
        <w:rPr>
          <w:sz w:val="23"/>
          <w:szCs w:val="23"/>
        </w:rPr>
        <w:t xml:space="preserve"> increase is primarily due to timing differences from tax credit carry forward, </w:t>
      </w:r>
      <w:r w:rsidR="00437705">
        <w:rPr>
          <w:sz w:val="23"/>
          <w:szCs w:val="23"/>
        </w:rPr>
        <w:t xml:space="preserve">federal </w:t>
      </w:r>
      <w:r w:rsidRPr="009E2E59">
        <w:rPr>
          <w:sz w:val="23"/>
          <w:szCs w:val="23"/>
        </w:rPr>
        <w:t>tax reform refund</w:t>
      </w:r>
      <w:r w:rsidR="00437705">
        <w:rPr>
          <w:sz w:val="23"/>
          <w:szCs w:val="23"/>
        </w:rPr>
        <w:t xml:space="preserve">s in 2018 and 2019 as ordered by the Commission in the Tax </w:t>
      </w:r>
      <w:r w:rsidR="0037189A">
        <w:rPr>
          <w:sz w:val="23"/>
          <w:szCs w:val="23"/>
        </w:rPr>
        <w:t>Reform Act</w:t>
      </w:r>
      <w:r w:rsidR="00437705">
        <w:rPr>
          <w:sz w:val="23"/>
          <w:szCs w:val="23"/>
        </w:rPr>
        <w:t xml:space="preserve"> settlement in Docket No. 36989</w:t>
      </w:r>
      <w:r w:rsidRPr="009E2E59">
        <w:rPr>
          <w:sz w:val="23"/>
          <w:szCs w:val="23"/>
        </w:rPr>
        <w:t xml:space="preserve">, and </w:t>
      </w:r>
      <w:r w:rsidR="00437705">
        <w:rPr>
          <w:sz w:val="23"/>
          <w:szCs w:val="23"/>
        </w:rPr>
        <w:t xml:space="preserve">2018 ASR </w:t>
      </w:r>
      <w:r w:rsidR="00794C91">
        <w:rPr>
          <w:sz w:val="23"/>
          <w:szCs w:val="23"/>
        </w:rPr>
        <w:t xml:space="preserve">retail </w:t>
      </w:r>
      <w:r w:rsidRPr="009E2E59">
        <w:rPr>
          <w:sz w:val="23"/>
          <w:szCs w:val="23"/>
        </w:rPr>
        <w:t>sharing refund</w:t>
      </w:r>
      <w:r w:rsidR="00437705">
        <w:rPr>
          <w:sz w:val="23"/>
          <w:szCs w:val="23"/>
        </w:rPr>
        <w:t>s</w:t>
      </w:r>
      <w:r w:rsidRPr="009E2E59">
        <w:rPr>
          <w:sz w:val="23"/>
          <w:szCs w:val="23"/>
        </w:rPr>
        <w:t>.</w:t>
      </w:r>
      <w:r w:rsidRPr="00F41F96">
        <w:rPr>
          <w:sz w:val="23"/>
          <w:szCs w:val="23"/>
        </w:rPr>
        <w:t xml:space="preserve"> </w:t>
      </w:r>
    </w:p>
    <w:bookmarkEnd w:id="28"/>
    <w:p w:rsidR="005C49CE" w:rsidRPr="00E47543" w:rsidRDefault="005C49CE" w:rsidP="00713485">
      <w:pPr>
        <w:jc w:val="both"/>
        <w:rPr>
          <w:sz w:val="23"/>
          <w:szCs w:val="23"/>
        </w:rPr>
      </w:pPr>
    </w:p>
    <w:p w:rsidR="00812A59" w:rsidRPr="00E47543" w:rsidRDefault="00812A59" w:rsidP="00713485">
      <w:pPr>
        <w:jc w:val="both"/>
        <w:rPr>
          <w:sz w:val="23"/>
          <w:szCs w:val="23"/>
        </w:rPr>
      </w:pPr>
      <w:r w:rsidRPr="00E47543">
        <w:rPr>
          <w:sz w:val="23"/>
          <w:szCs w:val="23"/>
          <w:u w:val="single"/>
        </w:rPr>
        <w:t>FOOTNOTE B</w:t>
      </w:r>
      <w:r w:rsidR="004E4B73">
        <w:rPr>
          <w:sz w:val="23"/>
          <w:szCs w:val="23"/>
          <w:u w:val="single"/>
        </w:rPr>
        <w:t>D</w:t>
      </w:r>
      <w:r w:rsidRPr="00E47543">
        <w:rPr>
          <w:sz w:val="23"/>
          <w:szCs w:val="23"/>
          <w:u w:val="single"/>
        </w:rPr>
        <w:t>/</w:t>
      </w:r>
      <w:r w:rsidRPr="00E47543">
        <w:rPr>
          <w:sz w:val="23"/>
          <w:szCs w:val="23"/>
        </w:rPr>
        <w:t xml:space="preserve"> </w:t>
      </w:r>
      <w:r w:rsidRPr="00E47543">
        <w:rPr>
          <w:sz w:val="23"/>
          <w:szCs w:val="23"/>
        </w:rPr>
        <w:tab/>
      </w:r>
      <w:r w:rsidRPr="00E47543">
        <w:rPr>
          <w:sz w:val="23"/>
          <w:szCs w:val="23"/>
          <w:u w:val="single"/>
        </w:rPr>
        <w:t xml:space="preserve">$ </w:t>
      </w:r>
      <w:r w:rsidR="00326544" w:rsidRPr="00E47543">
        <w:rPr>
          <w:sz w:val="23"/>
          <w:szCs w:val="23"/>
          <w:u w:val="single"/>
        </w:rPr>
        <w:t>(</w:t>
      </w:r>
      <w:r w:rsidR="008864BC">
        <w:rPr>
          <w:sz w:val="23"/>
          <w:szCs w:val="23"/>
          <w:u w:val="single"/>
        </w:rPr>
        <w:t>82,</w:t>
      </w:r>
      <w:r w:rsidR="0059798A">
        <w:rPr>
          <w:sz w:val="23"/>
          <w:szCs w:val="23"/>
          <w:u w:val="single"/>
        </w:rPr>
        <w:t>227</w:t>
      </w:r>
      <w:r w:rsidR="00326544" w:rsidRPr="00E47543">
        <w:rPr>
          <w:sz w:val="23"/>
          <w:szCs w:val="23"/>
          <w:u w:val="single"/>
        </w:rPr>
        <w:t>)</w:t>
      </w:r>
      <w:r w:rsidR="009E1CE4" w:rsidRPr="00E47543">
        <w:rPr>
          <w:sz w:val="23"/>
          <w:szCs w:val="23"/>
        </w:rPr>
        <w:tab/>
      </w:r>
      <w:r w:rsidRPr="00E47543">
        <w:rPr>
          <w:sz w:val="23"/>
          <w:szCs w:val="23"/>
        </w:rPr>
        <w:t>Cash Working Capital</w:t>
      </w:r>
    </w:p>
    <w:p w:rsidR="00812A59" w:rsidRPr="00E47543" w:rsidRDefault="00812A59" w:rsidP="00713485">
      <w:pPr>
        <w:jc w:val="both"/>
        <w:rPr>
          <w:sz w:val="23"/>
          <w:szCs w:val="23"/>
        </w:rPr>
      </w:pPr>
    </w:p>
    <w:p w:rsidR="00812A59" w:rsidRPr="008D39B1" w:rsidRDefault="00812A59" w:rsidP="00713485">
      <w:pPr>
        <w:pStyle w:val="BodyText2"/>
        <w:jc w:val="both"/>
        <w:rPr>
          <w:sz w:val="23"/>
          <w:szCs w:val="23"/>
        </w:rPr>
      </w:pPr>
      <w:r w:rsidRPr="00E47543">
        <w:rPr>
          <w:sz w:val="23"/>
          <w:szCs w:val="23"/>
        </w:rPr>
        <w:t xml:space="preserve">The </w:t>
      </w:r>
      <w:r w:rsidR="00FA52FD">
        <w:rPr>
          <w:sz w:val="23"/>
          <w:szCs w:val="23"/>
        </w:rPr>
        <w:t xml:space="preserve">decrease is due to the change in days that revenues are collected from customers and in days that the Company pays its suppliers in the Company’s 2018 lead/lag study, which is incorporated in the test period.  </w:t>
      </w:r>
      <w:r w:rsidR="006C57DE">
        <w:rPr>
          <w:sz w:val="23"/>
          <w:szCs w:val="23"/>
        </w:rPr>
        <w:t xml:space="preserve">Please see </w:t>
      </w:r>
      <w:proofErr w:type="spellStart"/>
      <w:r w:rsidR="006C57DE">
        <w:rPr>
          <w:sz w:val="23"/>
          <w:szCs w:val="23"/>
        </w:rPr>
        <w:t>Append</w:t>
      </w:r>
      <w:r w:rsidR="003F4919">
        <w:rPr>
          <w:sz w:val="23"/>
          <w:szCs w:val="23"/>
        </w:rPr>
        <w:t>i</w:t>
      </w:r>
      <w:r w:rsidR="00FC6FA8">
        <w:rPr>
          <w:sz w:val="23"/>
          <w:szCs w:val="23"/>
        </w:rPr>
        <w:t>x</w:t>
      </w:r>
      <w:r w:rsidR="00C86409">
        <w:rPr>
          <w:sz w:val="23"/>
          <w:szCs w:val="23"/>
        </w:rPr>
        <w:t>_Exhibit</w:t>
      </w:r>
      <w:proofErr w:type="spellEnd"/>
      <w:r w:rsidR="00FC6FA8">
        <w:rPr>
          <w:sz w:val="23"/>
          <w:szCs w:val="23"/>
        </w:rPr>
        <w:t xml:space="preserve"> 3 for a summary of the study.  </w:t>
      </w:r>
      <w:r w:rsidR="00FA52FD">
        <w:rPr>
          <w:sz w:val="23"/>
          <w:szCs w:val="23"/>
        </w:rPr>
        <w:t xml:space="preserve">The following page provides a detailed calculation of the adjustment.  </w:t>
      </w:r>
      <w:r w:rsidRPr="008D39B1">
        <w:rPr>
          <w:sz w:val="23"/>
          <w:szCs w:val="23"/>
        </w:rPr>
        <w:t xml:space="preserve"> </w:t>
      </w:r>
    </w:p>
    <w:p w:rsidR="004276C5" w:rsidRPr="008D39B1" w:rsidRDefault="004276C5" w:rsidP="00713485">
      <w:pPr>
        <w:pStyle w:val="BodyText2"/>
        <w:jc w:val="both"/>
        <w:rPr>
          <w:sz w:val="23"/>
          <w:szCs w:val="23"/>
        </w:rPr>
      </w:pPr>
    </w:p>
    <w:p w:rsidR="00B37B93" w:rsidRPr="008B7278" w:rsidRDefault="00B37B93" w:rsidP="00713485">
      <w:pPr>
        <w:pStyle w:val="BodyText2"/>
        <w:jc w:val="both"/>
        <w:rPr>
          <w:sz w:val="23"/>
          <w:szCs w:val="23"/>
        </w:rPr>
      </w:pPr>
    </w:p>
    <w:sectPr w:rsidR="00B37B93" w:rsidRPr="008B7278" w:rsidSect="00BB25A5">
      <w:headerReference w:type="default" r:id="rId13"/>
      <w:pgSz w:w="12240" w:h="15840"/>
      <w:pgMar w:top="1440" w:right="1800" w:bottom="1440" w:left="1800" w:header="432" w:footer="720" w:gutter="0"/>
      <w:pgNumType w:start="2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855" w:rsidRPr="009E1CE4" w:rsidRDefault="00D71855">
      <w:pPr>
        <w:rPr>
          <w:sz w:val="19"/>
          <w:szCs w:val="19"/>
        </w:rPr>
      </w:pPr>
      <w:r w:rsidRPr="009E1CE4">
        <w:rPr>
          <w:sz w:val="19"/>
          <w:szCs w:val="19"/>
        </w:rPr>
        <w:separator/>
      </w:r>
    </w:p>
  </w:endnote>
  <w:endnote w:type="continuationSeparator" w:id="0">
    <w:p w:rsidR="00D71855" w:rsidRPr="009E1CE4" w:rsidRDefault="00D71855">
      <w:pPr>
        <w:rPr>
          <w:sz w:val="19"/>
          <w:szCs w:val="19"/>
        </w:rPr>
      </w:pPr>
      <w:r w:rsidRPr="009E1CE4">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855" w:rsidRPr="009E1CE4" w:rsidRDefault="00D71855">
      <w:pPr>
        <w:rPr>
          <w:sz w:val="19"/>
          <w:szCs w:val="19"/>
        </w:rPr>
      </w:pPr>
      <w:r w:rsidRPr="009E1CE4">
        <w:rPr>
          <w:sz w:val="19"/>
          <w:szCs w:val="19"/>
        </w:rPr>
        <w:separator/>
      </w:r>
    </w:p>
  </w:footnote>
  <w:footnote w:type="continuationSeparator" w:id="0">
    <w:p w:rsidR="00D71855" w:rsidRPr="009E1CE4" w:rsidRDefault="00D71855">
      <w:pPr>
        <w:rPr>
          <w:sz w:val="19"/>
          <w:szCs w:val="19"/>
        </w:rPr>
      </w:pPr>
      <w:r w:rsidRPr="009E1CE4">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rPr>
      <w:id w:val="-1318336367"/>
      <w:docPartObj>
        <w:docPartGallery w:val="Page Numbers (Top of Page)"/>
        <w:docPartUnique/>
      </w:docPartObj>
    </w:sdtPr>
    <w:sdtEndPr/>
    <w:sdtContent>
      <w:p w:rsidR="001C1E46" w:rsidRPr="00DA4042" w:rsidRDefault="001C1E46" w:rsidP="001C1E46">
        <w:pPr>
          <w:pStyle w:val="Header"/>
          <w:jc w:val="right"/>
          <w:rPr>
            <w:sz w:val="24"/>
          </w:rPr>
        </w:pPr>
        <w:r w:rsidRPr="00DA4042">
          <w:rPr>
            <w:sz w:val="24"/>
          </w:rPr>
          <w:t>Exhibit___(DPP</w:t>
        </w:r>
        <w:r w:rsidR="00AB6748">
          <w:rPr>
            <w:sz w:val="24"/>
          </w:rPr>
          <w:t>/</w:t>
        </w:r>
        <w:r>
          <w:rPr>
            <w:sz w:val="24"/>
          </w:rPr>
          <w:t>SPA</w:t>
        </w:r>
        <w:r w:rsidR="00AB6748">
          <w:rPr>
            <w:sz w:val="24"/>
          </w:rPr>
          <w:t>/</w:t>
        </w:r>
        <w:r>
          <w:rPr>
            <w:sz w:val="24"/>
          </w:rPr>
          <w:t>MBR</w:t>
        </w:r>
        <w:r w:rsidRPr="00DA4042">
          <w:rPr>
            <w:sz w:val="24"/>
          </w:rPr>
          <w:t>-2)</w:t>
        </w:r>
      </w:p>
      <w:p w:rsidR="001C1E46" w:rsidRPr="001C1E46" w:rsidRDefault="001C1E46">
        <w:pPr>
          <w:pStyle w:val="Header"/>
          <w:jc w:val="right"/>
          <w:rPr>
            <w:sz w:val="24"/>
          </w:rPr>
        </w:pPr>
        <w:r w:rsidRPr="001C1E46">
          <w:rPr>
            <w:sz w:val="24"/>
          </w:rPr>
          <w:t xml:space="preserve">Page </w:t>
        </w:r>
        <w:r w:rsidRPr="001C1E46">
          <w:rPr>
            <w:sz w:val="24"/>
          </w:rPr>
          <w:fldChar w:fldCharType="begin"/>
        </w:r>
        <w:r w:rsidRPr="001C1E46">
          <w:rPr>
            <w:sz w:val="24"/>
          </w:rPr>
          <w:instrText xml:space="preserve"> PAGE </w:instrText>
        </w:r>
        <w:r w:rsidRPr="001C1E46">
          <w:rPr>
            <w:sz w:val="24"/>
          </w:rPr>
          <w:fldChar w:fldCharType="separate"/>
        </w:r>
        <w:r w:rsidRPr="001C1E46">
          <w:rPr>
            <w:sz w:val="24"/>
          </w:rPr>
          <w:t>2</w:t>
        </w:r>
        <w:r w:rsidRPr="001C1E46">
          <w:rPr>
            <w:sz w:val="24"/>
          </w:rPr>
          <w:fldChar w:fldCharType="end"/>
        </w:r>
        <w:r w:rsidRPr="001C1E46">
          <w:rPr>
            <w:sz w:val="24"/>
          </w:rPr>
          <w:t xml:space="preserve"> of 36</w:t>
        </w:r>
      </w:p>
    </w:sdtContent>
  </w:sdt>
  <w:p w:rsidR="00DC2191" w:rsidRPr="003452E6" w:rsidRDefault="00DC2191" w:rsidP="003452E6">
    <w:pPr>
      <w:pStyle w:val="Header"/>
      <w:spacing w:after="60"/>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05E49"/>
    <w:multiLevelType w:val="singleLevel"/>
    <w:tmpl w:val="7B3632F2"/>
    <w:lvl w:ilvl="0">
      <w:start w:val="2"/>
      <w:numFmt w:val="lowerLetter"/>
      <w:lvlText w:val="(%1)"/>
      <w:lvlJc w:val="left"/>
      <w:pPr>
        <w:tabs>
          <w:tab w:val="num" w:pos="390"/>
        </w:tabs>
        <w:ind w:left="390" w:hanging="390"/>
      </w:pPr>
      <w:rPr>
        <w:rFonts w:hint="default"/>
        <w:b w:val="0"/>
      </w:rPr>
    </w:lvl>
  </w:abstractNum>
  <w:abstractNum w:abstractNumId="1" w15:restartNumberingAfterBreak="0">
    <w:nsid w:val="5DC10E19"/>
    <w:multiLevelType w:val="hybridMultilevel"/>
    <w:tmpl w:val="FD80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9C28B7"/>
    <w:multiLevelType w:val="singleLevel"/>
    <w:tmpl w:val="579ECCD6"/>
    <w:lvl w:ilvl="0">
      <w:start w:val="2"/>
      <w:numFmt w:val="decimal"/>
      <w:lvlText w:val="(%1)"/>
      <w:lvlJc w:val="left"/>
      <w:pPr>
        <w:tabs>
          <w:tab w:val="num" w:pos="630"/>
        </w:tabs>
        <w:ind w:left="630" w:hanging="39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287"/>
    <w:rsid w:val="000034F8"/>
    <w:rsid w:val="00004AFA"/>
    <w:rsid w:val="00006B43"/>
    <w:rsid w:val="00014A61"/>
    <w:rsid w:val="0001748B"/>
    <w:rsid w:val="000205CD"/>
    <w:rsid w:val="00027788"/>
    <w:rsid w:val="00030893"/>
    <w:rsid w:val="00031718"/>
    <w:rsid w:val="00043B58"/>
    <w:rsid w:val="00051B2D"/>
    <w:rsid w:val="0005533D"/>
    <w:rsid w:val="00061C8B"/>
    <w:rsid w:val="0006565F"/>
    <w:rsid w:val="00066BDD"/>
    <w:rsid w:val="00066C7A"/>
    <w:rsid w:val="0006727D"/>
    <w:rsid w:val="000740D2"/>
    <w:rsid w:val="00076911"/>
    <w:rsid w:val="00094147"/>
    <w:rsid w:val="00094E31"/>
    <w:rsid w:val="000A25EC"/>
    <w:rsid w:val="000A2A49"/>
    <w:rsid w:val="000A4706"/>
    <w:rsid w:val="000A58B6"/>
    <w:rsid w:val="000B14CC"/>
    <w:rsid w:val="000B1F75"/>
    <w:rsid w:val="000B373C"/>
    <w:rsid w:val="000C16ED"/>
    <w:rsid w:val="000C1BB0"/>
    <w:rsid w:val="000C3203"/>
    <w:rsid w:val="000C3A58"/>
    <w:rsid w:val="000C4751"/>
    <w:rsid w:val="000C6814"/>
    <w:rsid w:val="000C7FDB"/>
    <w:rsid w:val="000D046E"/>
    <w:rsid w:val="000E782E"/>
    <w:rsid w:val="000F286C"/>
    <w:rsid w:val="000F7507"/>
    <w:rsid w:val="00110228"/>
    <w:rsid w:val="00110EB5"/>
    <w:rsid w:val="00115351"/>
    <w:rsid w:val="0011642C"/>
    <w:rsid w:val="00121047"/>
    <w:rsid w:val="00121808"/>
    <w:rsid w:val="00122815"/>
    <w:rsid w:val="001242EA"/>
    <w:rsid w:val="0012732E"/>
    <w:rsid w:val="00140F28"/>
    <w:rsid w:val="001469CF"/>
    <w:rsid w:val="0016368B"/>
    <w:rsid w:val="00172BE7"/>
    <w:rsid w:val="00174021"/>
    <w:rsid w:val="00174F0C"/>
    <w:rsid w:val="00176091"/>
    <w:rsid w:val="001950E5"/>
    <w:rsid w:val="001959B1"/>
    <w:rsid w:val="001A0CBA"/>
    <w:rsid w:val="001C0F07"/>
    <w:rsid w:val="001C1E46"/>
    <w:rsid w:val="001C5D7D"/>
    <w:rsid w:val="001C62D6"/>
    <w:rsid w:val="001D0685"/>
    <w:rsid w:val="001D2159"/>
    <w:rsid w:val="001D6B33"/>
    <w:rsid w:val="001E053F"/>
    <w:rsid w:val="001E312C"/>
    <w:rsid w:val="001E413E"/>
    <w:rsid w:val="001E4BF4"/>
    <w:rsid w:val="001E765D"/>
    <w:rsid w:val="002109C8"/>
    <w:rsid w:val="00220F65"/>
    <w:rsid w:val="00222468"/>
    <w:rsid w:val="00224285"/>
    <w:rsid w:val="00237266"/>
    <w:rsid w:val="00240140"/>
    <w:rsid w:val="002469D3"/>
    <w:rsid w:val="00247767"/>
    <w:rsid w:val="0025093F"/>
    <w:rsid w:val="002513D1"/>
    <w:rsid w:val="002516A1"/>
    <w:rsid w:val="00255284"/>
    <w:rsid w:val="00255800"/>
    <w:rsid w:val="00255EC4"/>
    <w:rsid w:val="00261A77"/>
    <w:rsid w:val="00271285"/>
    <w:rsid w:val="002724BA"/>
    <w:rsid w:val="00281DDE"/>
    <w:rsid w:val="00287EAA"/>
    <w:rsid w:val="00294277"/>
    <w:rsid w:val="002A5EE3"/>
    <w:rsid w:val="002B716D"/>
    <w:rsid w:val="002C1F63"/>
    <w:rsid w:val="002C27EA"/>
    <w:rsid w:val="002C3D96"/>
    <w:rsid w:val="002C71CE"/>
    <w:rsid w:val="002D1D38"/>
    <w:rsid w:val="002D68A3"/>
    <w:rsid w:val="002E21C5"/>
    <w:rsid w:val="002E50C4"/>
    <w:rsid w:val="002E695B"/>
    <w:rsid w:val="002F19F1"/>
    <w:rsid w:val="002F21DE"/>
    <w:rsid w:val="002F77C4"/>
    <w:rsid w:val="003077D0"/>
    <w:rsid w:val="00307950"/>
    <w:rsid w:val="0031138D"/>
    <w:rsid w:val="00313B51"/>
    <w:rsid w:val="00314200"/>
    <w:rsid w:val="003161E2"/>
    <w:rsid w:val="00323273"/>
    <w:rsid w:val="003246BD"/>
    <w:rsid w:val="00326544"/>
    <w:rsid w:val="003319B4"/>
    <w:rsid w:val="003333F8"/>
    <w:rsid w:val="0033632C"/>
    <w:rsid w:val="00340A37"/>
    <w:rsid w:val="00341556"/>
    <w:rsid w:val="00341FCE"/>
    <w:rsid w:val="0034292E"/>
    <w:rsid w:val="00342E99"/>
    <w:rsid w:val="00343193"/>
    <w:rsid w:val="003452E6"/>
    <w:rsid w:val="00345BB7"/>
    <w:rsid w:val="00351A88"/>
    <w:rsid w:val="00363A05"/>
    <w:rsid w:val="0037189A"/>
    <w:rsid w:val="00374B11"/>
    <w:rsid w:val="00374E49"/>
    <w:rsid w:val="003952EE"/>
    <w:rsid w:val="003A2D8B"/>
    <w:rsid w:val="003A3F4F"/>
    <w:rsid w:val="003A563C"/>
    <w:rsid w:val="003A641A"/>
    <w:rsid w:val="003A6FA8"/>
    <w:rsid w:val="003B7D2B"/>
    <w:rsid w:val="003C1524"/>
    <w:rsid w:val="003C5546"/>
    <w:rsid w:val="003D20AD"/>
    <w:rsid w:val="003D3627"/>
    <w:rsid w:val="003D4342"/>
    <w:rsid w:val="003D6FF4"/>
    <w:rsid w:val="003F4919"/>
    <w:rsid w:val="00401B03"/>
    <w:rsid w:val="004021CA"/>
    <w:rsid w:val="00403A66"/>
    <w:rsid w:val="0040732C"/>
    <w:rsid w:val="00415E5E"/>
    <w:rsid w:val="004276C5"/>
    <w:rsid w:val="00437705"/>
    <w:rsid w:val="00441984"/>
    <w:rsid w:val="0044429B"/>
    <w:rsid w:val="00484492"/>
    <w:rsid w:val="0048518E"/>
    <w:rsid w:val="00494602"/>
    <w:rsid w:val="004A45CF"/>
    <w:rsid w:val="004A4E16"/>
    <w:rsid w:val="004B1A33"/>
    <w:rsid w:val="004C2357"/>
    <w:rsid w:val="004C7C3F"/>
    <w:rsid w:val="004D25E3"/>
    <w:rsid w:val="004E235F"/>
    <w:rsid w:val="004E2934"/>
    <w:rsid w:val="004E4B73"/>
    <w:rsid w:val="004E7C0A"/>
    <w:rsid w:val="005077EF"/>
    <w:rsid w:val="005157EB"/>
    <w:rsid w:val="00522BFA"/>
    <w:rsid w:val="00533B94"/>
    <w:rsid w:val="00537BE4"/>
    <w:rsid w:val="00541D8F"/>
    <w:rsid w:val="005561C8"/>
    <w:rsid w:val="005623C5"/>
    <w:rsid w:val="00562A70"/>
    <w:rsid w:val="00564429"/>
    <w:rsid w:val="00576F12"/>
    <w:rsid w:val="0058516B"/>
    <w:rsid w:val="0058615A"/>
    <w:rsid w:val="0058617C"/>
    <w:rsid w:val="005935E9"/>
    <w:rsid w:val="0059798A"/>
    <w:rsid w:val="005A196B"/>
    <w:rsid w:val="005B1DC1"/>
    <w:rsid w:val="005B479C"/>
    <w:rsid w:val="005B6A96"/>
    <w:rsid w:val="005C048D"/>
    <w:rsid w:val="005C05E8"/>
    <w:rsid w:val="005C3164"/>
    <w:rsid w:val="005C49CE"/>
    <w:rsid w:val="005C719D"/>
    <w:rsid w:val="005D1CA0"/>
    <w:rsid w:val="005D6AAC"/>
    <w:rsid w:val="005E21F0"/>
    <w:rsid w:val="005E3EC7"/>
    <w:rsid w:val="005E5B49"/>
    <w:rsid w:val="005E69BB"/>
    <w:rsid w:val="006035BA"/>
    <w:rsid w:val="0060437E"/>
    <w:rsid w:val="006071C3"/>
    <w:rsid w:val="006152A3"/>
    <w:rsid w:val="006170A3"/>
    <w:rsid w:val="00617C24"/>
    <w:rsid w:val="00620A03"/>
    <w:rsid w:val="006222CB"/>
    <w:rsid w:val="00630F40"/>
    <w:rsid w:val="00636564"/>
    <w:rsid w:val="006367BB"/>
    <w:rsid w:val="00640D6F"/>
    <w:rsid w:val="006418B7"/>
    <w:rsid w:val="006535C6"/>
    <w:rsid w:val="00663D35"/>
    <w:rsid w:val="006672BC"/>
    <w:rsid w:val="00673C5B"/>
    <w:rsid w:val="0068343A"/>
    <w:rsid w:val="006842EA"/>
    <w:rsid w:val="00684390"/>
    <w:rsid w:val="00686BD2"/>
    <w:rsid w:val="006919A1"/>
    <w:rsid w:val="006A177F"/>
    <w:rsid w:val="006A74B4"/>
    <w:rsid w:val="006C1921"/>
    <w:rsid w:val="006C3D62"/>
    <w:rsid w:val="006C57DE"/>
    <w:rsid w:val="006C5F0D"/>
    <w:rsid w:val="006C7ED5"/>
    <w:rsid w:val="006D269F"/>
    <w:rsid w:val="006D57B6"/>
    <w:rsid w:val="006F1DB4"/>
    <w:rsid w:val="006F7841"/>
    <w:rsid w:val="00712439"/>
    <w:rsid w:val="00713485"/>
    <w:rsid w:val="007147C5"/>
    <w:rsid w:val="00717A46"/>
    <w:rsid w:val="00722583"/>
    <w:rsid w:val="00727F0F"/>
    <w:rsid w:val="00730574"/>
    <w:rsid w:val="007350DA"/>
    <w:rsid w:val="007502B7"/>
    <w:rsid w:val="0075230A"/>
    <w:rsid w:val="00752B09"/>
    <w:rsid w:val="00756C7C"/>
    <w:rsid w:val="00756FE1"/>
    <w:rsid w:val="0076412B"/>
    <w:rsid w:val="00771562"/>
    <w:rsid w:val="0078031A"/>
    <w:rsid w:val="00792E3D"/>
    <w:rsid w:val="00794C91"/>
    <w:rsid w:val="007A6A5F"/>
    <w:rsid w:val="007B0D6B"/>
    <w:rsid w:val="007B28AA"/>
    <w:rsid w:val="007B385C"/>
    <w:rsid w:val="007B4497"/>
    <w:rsid w:val="007B5216"/>
    <w:rsid w:val="007B55C5"/>
    <w:rsid w:val="007B6AEB"/>
    <w:rsid w:val="007B6EBC"/>
    <w:rsid w:val="007C23FA"/>
    <w:rsid w:val="007C4339"/>
    <w:rsid w:val="007D1A18"/>
    <w:rsid w:val="007D1BB8"/>
    <w:rsid w:val="007D430F"/>
    <w:rsid w:val="007E25DD"/>
    <w:rsid w:val="007E29A1"/>
    <w:rsid w:val="007E5675"/>
    <w:rsid w:val="007F5452"/>
    <w:rsid w:val="00801CF4"/>
    <w:rsid w:val="008115C4"/>
    <w:rsid w:val="00812A59"/>
    <w:rsid w:val="008225C2"/>
    <w:rsid w:val="00825FBE"/>
    <w:rsid w:val="00830B97"/>
    <w:rsid w:val="00830DCA"/>
    <w:rsid w:val="008324D8"/>
    <w:rsid w:val="00833DEE"/>
    <w:rsid w:val="00836213"/>
    <w:rsid w:val="00836216"/>
    <w:rsid w:val="00840BC3"/>
    <w:rsid w:val="00842586"/>
    <w:rsid w:val="00842CBD"/>
    <w:rsid w:val="00846A57"/>
    <w:rsid w:val="0084716A"/>
    <w:rsid w:val="00847277"/>
    <w:rsid w:val="00857A7D"/>
    <w:rsid w:val="00860FF1"/>
    <w:rsid w:val="0086188D"/>
    <w:rsid w:val="0086260B"/>
    <w:rsid w:val="00866244"/>
    <w:rsid w:val="00866B71"/>
    <w:rsid w:val="008736C6"/>
    <w:rsid w:val="00873E76"/>
    <w:rsid w:val="00885877"/>
    <w:rsid w:val="008861F0"/>
    <w:rsid w:val="008864BC"/>
    <w:rsid w:val="00886FD0"/>
    <w:rsid w:val="00887F50"/>
    <w:rsid w:val="0089221E"/>
    <w:rsid w:val="00892FE9"/>
    <w:rsid w:val="008A08F6"/>
    <w:rsid w:val="008A3405"/>
    <w:rsid w:val="008B056F"/>
    <w:rsid w:val="008B2B9F"/>
    <w:rsid w:val="008B457C"/>
    <w:rsid w:val="008B598A"/>
    <w:rsid w:val="008B68EE"/>
    <w:rsid w:val="008B7278"/>
    <w:rsid w:val="008C0EE7"/>
    <w:rsid w:val="008C41A0"/>
    <w:rsid w:val="008D1544"/>
    <w:rsid w:val="008D238E"/>
    <w:rsid w:val="008D39B1"/>
    <w:rsid w:val="008D7F69"/>
    <w:rsid w:val="008E20C6"/>
    <w:rsid w:val="008E2F53"/>
    <w:rsid w:val="008F4A43"/>
    <w:rsid w:val="008F5831"/>
    <w:rsid w:val="008F62B5"/>
    <w:rsid w:val="009078C1"/>
    <w:rsid w:val="00914582"/>
    <w:rsid w:val="00925520"/>
    <w:rsid w:val="00931D9B"/>
    <w:rsid w:val="0093743C"/>
    <w:rsid w:val="00937EE3"/>
    <w:rsid w:val="009406D0"/>
    <w:rsid w:val="0094283A"/>
    <w:rsid w:val="0094362A"/>
    <w:rsid w:val="00944A5E"/>
    <w:rsid w:val="009475F8"/>
    <w:rsid w:val="00950F17"/>
    <w:rsid w:val="00953619"/>
    <w:rsid w:val="00962F77"/>
    <w:rsid w:val="00963BAD"/>
    <w:rsid w:val="00965367"/>
    <w:rsid w:val="00974983"/>
    <w:rsid w:val="00976C70"/>
    <w:rsid w:val="00977382"/>
    <w:rsid w:val="00986E49"/>
    <w:rsid w:val="009960C5"/>
    <w:rsid w:val="009961D1"/>
    <w:rsid w:val="009A1EA9"/>
    <w:rsid w:val="009A6978"/>
    <w:rsid w:val="009B79C3"/>
    <w:rsid w:val="009B7F6E"/>
    <w:rsid w:val="009C1DC7"/>
    <w:rsid w:val="009C26E0"/>
    <w:rsid w:val="009D0000"/>
    <w:rsid w:val="009D1F5B"/>
    <w:rsid w:val="009E1CE4"/>
    <w:rsid w:val="009E2E59"/>
    <w:rsid w:val="009E4D59"/>
    <w:rsid w:val="009E5A5A"/>
    <w:rsid w:val="009F1891"/>
    <w:rsid w:val="009F443A"/>
    <w:rsid w:val="00A031FA"/>
    <w:rsid w:val="00A04165"/>
    <w:rsid w:val="00A04726"/>
    <w:rsid w:val="00A04727"/>
    <w:rsid w:val="00A13D17"/>
    <w:rsid w:val="00A23382"/>
    <w:rsid w:val="00A27D97"/>
    <w:rsid w:val="00A352B6"/>
    <w:rsid w:val="00A365E0"/>
    <w:rsid w:val="00A4102A"/>
    <w:rsid w:val="00A426C4"/>
    <w:rsid w:val="00A50F70"/>
    <w:rsid w:val="00A52660"/>
    <w:rsid w:val="00A568AF"/>
    <w:rsid w:val="00A6447F"/>
    <w:rsid w:val="00A70EA0"/>
    <w:rsid w:val="00A722F2"/>
    <w:rsid w:val="00A83928"/>
    <w:rsid w:val="00A91655"/>
    <w:rsid w:val="00A923D6"/>
    <w:rsid w:val="00A9755C"/>
    <w:rsid w:val="00AA7FF9"/>
    <w:rsid w:val="00AB64E0"/>
    <w:rsid w:val="00AB6748"/>
    <w:rsid w:val="00AB7618"/>
    <w:rsid w:val="00AC1267"/>
    <w:rsid w:val="00AC17D6"/>
    <w:rsid w:val="00AC22FA"/>
    <w:rsid w:val="00AC42BB"/>
    <w:rsid w:val="00AD6722"/>
    <w:rsid w:val="00AE5DA7"/>
    <w:rsid w:val="00AE6C93"/>
    <w:rsid w:val="00AF174E"/>
    <w:rsid w:val="00AF2EDD"/>
    <w:rsid w:val="00B009CF"/>
    <w:rsid w:val="00B04726"/>
    <w:rsid w:val="00B169CB"/>
    <w:rsid w:val="00B17916"/>
    <w:rsid w:val="00B37B93"/>
    <w:rsid w:val="00B44FD5"/>
    <w:rsid w:val="00B52B14"/>
    <w:rsid w:val="00B57CEA"/>
    <w:rsid w:val="00B71A21"/>
    <w:rsid w:val="00B7629C"/>
    <w:rsid w:val="00B80E1A"/>
    <w:rsid w:val="00B8373B"/>
    <w:rsid w:val="00B913C6"/>
    <w:rsid w:val="00BA1162"/>
    <w:rsid w:val="00BA2B6C"/>
    <w:rsid w:val="00BA5E2A"/>
    <w:rsid w:val="00BB25A5"/>
    <w:rsid w:val="00BB351B"/>
    <w:rsid w:val="00BB673F"/>
    <w:rsid w:val="00BC17F2"/>
    <w:rsid w:val="00BC3CE0"/>
    <w:rsid w:val="00BC6044"/>
    <w:rsid w:val="00BD469E"/>
    <w:rsid w:val="00BD5DDC"/>
    <w:rsid w:val="00BD6356"/>
    <w:rsid w:val="00BD6E77"/>
    <w:rsid w:val="00BE036A"/>
    <w:rsid w:val="00BE08C4"/>
    <w:rsid w:val="00BE3344"/>
    <w:rsid w:val="00BF6F99"/>
    <w:rsid w:val="00C0318A"/>
    <w:rsid w:val="00C13643"/>
    <w:rsid w:val="00C1717F"/>
    <w:rsid w:val="00C17F4D"/>
    <w:rsid w:val="00C21687"/>
    <w:rsid w:val="00C2237E"/>
    <w:rsid w:val="00C24502"/>
    <w:rsid w:val="00C2499B"/>
    <w:rsid w:val="00C305CB"/>
    <w:rsid w:val="00C365D0"/>
    <w:rsid w:val="00C42D42"/>
    <w:rsid w:val="00C6482C"/>
    <w:rsid w:val="00C65459"/>
    <w:rsid w:val="00C86409"/>
    <w:rsid w:val="00C92926"/>
    <w:rsid w:val="00C96AD2"/>
    <w:rsid w:val="00CD1613"/>
    <w:rsid w:val="00CD49F7"/>
    <w:rsid w:val="00CE359A"/>
    <w:rsid w:val="00CE399E"/>
    <w:rsid w:val="00CF55D2"/>
    <w:rsid w:val="00CF774A"/>
    <w:rsid w:val="00D06221"/>
    <w:rsid w:val="00D1023A"/>
    <w:rsid w:val="00D10AE6"/>
    <w:rsid w:val="00D12756"/>
    <w:rsid w:val="00D165F6"/>
    <w:rsid w:val="00D21F4B"/>
    <w:rsid w:val="00D3312C"/>
    <w:rsid w:val="00D37287"/>
    <w:rsid w:val="00D4535C"/>
    <w:rsid w:val="00D46B64"/>
    <w:rsid w:val="00D514BA"/>
    <w:rsid w:val="00D573A4"/>
    <w:rsid w:val="00D71855"/>
    <w:rsid w:val="00D77874"/>
    <w:rsid w:val="00D80882"/>
    <w:rsid w:val="00D82822"/>
    <w:rsid w:val="00D82846"/>
    <w:rsid w:val="00D86F45"/>
    <w:rsid w:val="00D87E12"/>
    <w:rsid w:val="00D90CF5"/>
    <w:rsid w:val="00D94EA2"/>
    <w:rsid w:val="00D967BE"/>
    <w:rsid w:val="00D97EC4"/>
    <w:rsid w:val="00DA43EA"/>
    <w:rsid w:val="00DB3137"/>
    <w:rsid w:val="00DB603D"/>
    <w:rsid w:val="00DB63DA"/>
    <w:rsid w:val="00DC2191"/>
    <w:rsid w:val="00DC56F9"/>
    <w:rsid w:val="00DC5E23"/>
    <w:rsid w:val="00DD6E01"/>
    <w:rsid w:val="00DE660E"/>
    <w:rsid w:val="00DE6BBD"/>
    <w:rsid w:val="00E00D49"/>
    <w:rsid w:val="00E01ED6"/>
    <w:rsid w:val="00E0362D"/>
    <w:rsid w:val="00E03CA7"/>
    <w:rsid w:val="00E102C6"/>
    <w:rsid w:val="00E11EB1"/>
    <w:rsid w:val="00E20D6D"/>
    <w:rsid w:val="00E243A0"/>
    <w:rsid w:val="00E30E1A"/>
    <w:rsid w:val="00E3434F"/>
    <w:rsid w:val="00E35576"/>
    <w:rsid w:val="00E37F12"/>
    <w:rsid w:val="00E40794"/>
    <w:rsid w:val="00E47543"/>
    <w:rsid w:val="00E47A72"/>
    <w:rsid w:val="00E53651"/>
    <w:rsid w:val="00E55347"/>
    <w:rsid w:val="00E570CE"/>
    <w:rsid w:val="00E63EF3"/>
    <w:rsid w:val="00E651D1"/>
    <w:rsid w:val="00E67543"/>
    <w:rsid w:val="00E72289"/>
    <w:rsid w:val="00E741E1"/>
    <w:rsid w:val="00EA0B80"/>
    <w:rsid w:val="00EA4496"/>
    <w:rsid w:val="00EB4F9F"/>
    <w:rsid w:val="00EC0BB5"/>
    <w:rsid w:val="00EC117B"/>
    <w:rsid w:val="00ED10A2"/>
    <w:rsid w:val="00ED4FC9"/>
    <w:rsid w:val="00ED636B"/>
    <w:rsid w:val="00EE1A7B"/>
    <w:rsid w:val="00EF3C35"/>
    <w:rsid w:val="00F0033D"/>
    <w:rsid w:val="00F05B0B"/>
    <w:rsid w:val="00F110FB"/>
    <w:rsid w:val="00F12882"/>
    <w:rsid w:val="00F14184"/>
    <w:rsid w:val="00F21C73"/>
    <w:rsid w:val="00F30377"/>
    <w:rsid w:val="00F30EF1"/>
    <w:rsid w:val="00F322B7"/>
    <w:rsid w:val="00F40923"/>
    <w:rsid w:val="00F41F96"/>
    <w:rsid w:val="00F43ADB"/>
    <w:rsid w:val="00F44AE8"/>
    <w:rsid w:val="00F456E5"/>
    <w:rsid w:val="00F64529"/>
    <w:rsid w:val="00F82643"/>
    <w:rsid w:val="00F82973"/>
    <w:rsid w:val="00F84D56"/>
    <w:rsid w:val="00F85B8C"/>
    <w:rsid w:val="00FA0B3F"/>
    <w:rsid w:val="00FA0D51"/>
    <w:rsid w:val="00FA15D1"/>
    <w:rsid w:val="00FA1F8B"/>
    <w:rsid w:val="00FA52FD"/>
    <w:rsid w:val="00FC22B1"/>
    <w:rsid w:val="00FC6849"/>
    <w:rsid w:val="00FC6FA8"/>
    <w:rsid w:val="00FD1174"/>
    <w:rsid w:val="00FD172C"/>
    <w:rsid w:val="00FD64A5"/>
    <w:rsid w:val="00FD6F09"/>
    <w:rsid w:val="00FF28FC"/>
    <w:rsid w:val="00FF3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2"/>
      <w:u w:val="single"/>
    </w:rPr>
  </w:style>
  <w:style w:type="paragraph" w:styleId="Heading2">
    <w:name w:val="heading 2"/>
    <w:basedOn w:val="Normal"/>
    <w:next w:val="Normal"/>
    <w:qFormat/>
    <w:pPr>
      <w:keepNext/>
      <w:ind w:left="674" w:hanging="674"/>
      <w:jc w:val="center"/>
      <w:outlineLvl w:val="1"/>
    </w:pPr>
    <w:rPr>
      <w:rFonts w:ascii="Arial" w:hAnsi="Arial"/>
      <w:sz w:val="22"/>
      <w:u w:val="single"/>
    </w:rPr>
  </w:style>
  <w:style w:type="paragraph" w:styleId="Heading3">
    <w:name w:val="heading 3"/>
    <w:basedOn w:val="Normal"/>
    <w:next w:val="Normal"/>
    <w:qFormat/>
    <w:pPr>
      <w:keepNext/>
      <w:jc w:val="right"/>
      <w:outlineLvl w:val="2"/>
    </w:pPr>
    <w:rPr>
      <w:rFonts w:ascii="Arial" w:hAnsi="Arial"/>
      <w:sz w:val="22"/>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tabs>
        <w:tab w:val="right" w:pos="5040"/>
      </w:tabs>
      <w:ind w:left="2502" w:hanging="720"/>
      <w:jc w:val="righ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sz w:val="22"/>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spacing w:before="240" w:after="60"/>
      <w:jc w:val="center"/>
      <w:outlineLvl w:val="0"/>
    </w:pPr>
    <w:rPr>
      <w:rFonts w:ascii="Arial" w:hAnsi="Arial"/>
      <w:b/>
      <w:kern w:val="28"/>
      <w:sz w:val="32"/>
    </w:rPr>
  </w:style>
  <w:style w:type="paragraph" w:styleId="BodyText2">
    <w:name w:val="Body Text 2"/>
    <w:basedOn w:val="Normal"/>
    <w:rPr>
      <w:sz w:val="24"/>
    </w:rPr>
  </w:style>
  <w:style w:type="paragraph" w:styleId="Header">
    <w:name w:val="header"/>
    <w:basedOn w:val="Normal"/>
    <w:link w:val="HeaderChar"/>
    <w:uiPriority w:val="99"/>
    <w:rsid w:val="00C96AD2"/>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9078C1"/>
    <w:rPr>
      <w:rFonts w:ascii="Tahoma" w:hAnsi="Tahoma" w:cs="Tahoma"/>
      <w:sz w:val="16"/>
      <w:szCs w:val="16"/>
    </w:rPr>
  </w:style>
  <w:style w:type="character" w:customStyle="1" w:styleId="HeaderChar">
    <w:name w:val="Header Char"/>
    <w:basedOn w:val="DefaultParagraphFont"/>
    <w:link w:val="Header"/>
    <w:uiPriority w:val="99"/>
    <w:rsid w:val="00C96AD2"/>
  </w:style>
  <w:style w:type="table" w:styleId="TableGrid">
    <w:name w:val="Table Grid"/>
    <w:basedOn w:val="TableNormal"/>
    <w:rsid w:val="007F5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08120">
      <w:bodyDiv w:val="1"/>
      <w:marLeft w:val="0"/>
      <w:marRight w:val="0"/>
      <w:marTop w:val="0"/>
      <w:marBottom w:val="0"/>
      <w:divBdr>
        <w:top w:val="none" w:sz="0" w:space="0" w:color="auto"/>
        <w:left w:val="none" w:sz="0" w:space="0" w:color="auto"/>
        <w:bottom w:val="none" w:sz="0" w:space="0" w:color="auto"/>
        <w:right w:val="none" w:sz="0" w:space="0" w:color="auto"/>
      </w:divBdr>
    </w:div>
    <w:div w:id="1208688140">
      <w:bodyDiv w:val="1"/>
      <w:marLeft w:val="0"/>
      <w:marRight w:val="0"/>
      <w:marTop w:val="0"/>
      <w:marBottom w:val="0"/>
      <w:divBdr>
        <w:top w:val="none" w:sz="0" w:space="0" w:color="auto"/>
        <w:left w:val="none" w:sz="0" w:space="0" w:color="auto"/>
        <w:bottom w:val="none" w:sz="0" w:space="0" w:color="auto"/>
        <w:right w:val="none" w:sz="0" w:space="0" w:color="auto"/>
      </w:divBdr>
    </w:div>
    <w:div w:id="1333216433">
      <w:bodyDiv w:val="1"/>
      <w:marLeft w:val="0"/>
      <w:marRight w:val="0"/>
      <w:marTop w:val="0"/>
      <w:marBottom w:val="0"/>
      <w:divBdr>
        <w:top w:val="none" w:sz="0" w:space="0" w:color="auto"/>
        <w:left w:val="none" w:sz="0" w:space="0" w:color="auto"/>
        <w:bottom w:val="none" w:sz="0" w:space="0" w:color="auto"/>
        <w:right w:val="none" w:sz="0" w:space="0" w:color="auto"/>
      </w:divBdr>
    </w:div>
    <w:div w:id="1707951502">
      <w:bodyDiv w:val="1"/>
      <w:marLeft w:val="0"/>
      <w:marRight w:val="0"/>
      <w:marTop w:val="0"/>
      <w:marBottom w:val="0"/>
      <w:divBdr>
        <w:top w:val="none" w:sz="0" w:space="0" w:color="auto"/>
        <w:left w:val="none" w:sz="0" w:space="0" w:color="auto"/>
        <w:bottom w:val="none" w:sz="0" w:space="0" w:color="auto"/>
        <w:right w:val="none" w:sz="0" w:space="0" w:color="auto"/>
      </w:divBdr>
    </w:div>
    <w:div w:id="18774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1938</Words>
  <Characters>10846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2019-05-23T15:30:00Z</dcterms:created>
  <dcterms:modified xsi:type="dcterms:W3CDTF">2019-06-25T17:19:00Z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